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0C" w:rsidRPr="00712D0C" w:rsidRDefault="00712D0C" w:rsidP="00712D0C">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6"/>
        </w:rPr>
      </w:pPr>
      <w:r>
        <w:rPr>
          <w:rFonts w:ascii="Times New Roman" w:eastAsia="Times New Roman" w:hAnsi="Times New Roman" w:cs="Times New Roman"/>
          <w:b/>
          <w:sz w:val="28"/>
          <w:szCs w:val="26"/>
        </w:rPr>
        <w:t>3.</w:t>
      </w:r>
      <w:r w:rsidRPr="00712D0C">
        <w:rPr>
          <w:rFonts w:ascii="Times New Roman" w:eastAsia="Times New Roman" w:hAnsi="Times New Roman" w:cs="Times New Roman"/>
          <w:b/>
          <w:sz w:val="28"/>
          <w:szCs w:val="26"/>
        </w:rPr>
        <w:t xml:space="preserve"> План внеурочной деятельности </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 xml:space="preserve">План внеурочной деятельности МБОУ «Макаричская СОШ»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МБОУ «Макаричская СОШ» в сфере внеурочной деятельности и включает:</w:t>
      </w:r>
    </w:p>
    <w:p w:rsidR="00712D0C" w:rsidRPr="00712D0C" w:rsidRDefault="00712D0C" w:rsidP="00712D0C">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план организации деятельности ученических сообществ (групп старшеклассников);</w:t>
      </w:r>
    </w:p>
    <w:p w:rsidR="00712D0C" w:rsidRPr="00712D0C" w:rsidRDefault="00712D0C" w:rsidP="00712D0C">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план реализации курсов внеурочной деятельности по выбору обучающихся;</w:t>
      </w:r>
    </w:p>
    <w:p w:rsidR="00712D0C" w:rsidRPr="00712D0C" w:rsidRDefault="00712D0C" w:rsidP="00712D0C">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план воспитательных мероприятий.</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В соответствии с планом внеурочной деятельности в МБОУ «Макаричская СОШ»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 каникул.</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к изменившейся образовательной ситуации выделено больше часов, чем в 11 классе.</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12D0C">
        <w:rPr>
          <w:rFonts w:ascii="Times New Roman" w:eastAsia="Calibri" w:hAnsi="Times New Roman" w:cs="Times New Roman"/>
          <w:color w:val="000000"/>
          <w:sz w:val="24"/>
          <w:szCs w:val="24"/>
        </w:rPr>
        <w:t>Реализация плана внеурочной деятельности предусматривает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объём времени, чем в иные периоды (между образовательными событиями).</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712D0C" w:rsidRPr="00712D0C" w:rsidRDefault="00712D0C" w:rsidP="00712D0C">
      <w:pPr>
        <w:autoSpaceDE w:val="0"/>
        <w:autoSpaceDN w:val="0"/>
        <w:adjustRightInd w:val="0"/>
        <w:spacing w:after="0" w:line="240" w:lineRule="auto"/>
        <w:ind w:firstLine="708"/>
        <w:jc w:val="center"/>
        <w:rPr>
          <w:rFonts w:ascii="Times New Roman" w:eastAsia="Calibri" w:hAnsi="Times New Roman" w:cs="Times New Roman"/>
          <w:b/>
          <w:color w:val="000000"/>
          <w:sz w:val="24"/>
          <w:szCs w:val="24"/>
        </w:rPr>
      </w:pPr>
      <w:r w:rsidRPr="00712D0C">
        <w:rPr>
          <w:rFonts w:ascii="Times New Roman" w:eastAsia="Calibri" w:hAnsi="Times New Roman" w:cs="Times New Roman"/>
          <w:b/>
          <w:color w:val="000000"/>
          <w:sz w:val="24"/>
          <w:szCs w:val="24"/>
        </w:rPr>
        <w:t>Цель внеурочной деятельности:</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712D0C" w:rsidRPr="00712D0C" w:rsidRDefault="00712D0C" w:rsidP="00712D0C">
      <w:pPr>
        <w:autoSpaceDE w:val="0"/>
        <w:autoSpaceDN w:val="0"/>
        <w:adjustRightInd w:val="0"/>
        <w:spacing w:after="0" w:line="240" w:lineRule="auto"/>
        <w:ind w:firstLine="708"/>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w:t>
      </w:r>
      <w:proofErr w:type="spellStart"/>
      <w:r w:rsidRPr="00712D0C">
        <w:rPr>
          <w:rFonts w:ascii="Times New Roman" w:eastAsia="Calibri" w:hAnsi="Times New Roman" w:cs="Times New Roman"/>
          <w:color w:val="000000"/>
          <w:sz w:val="24"/>
          <w:szCs w:val="24"/>
        </w:rPr>
        <w:t>МБОУ</w:t>
      </w:r>
      <w:proofErr w:type="gramStart"/>
      <w:r w:rsidRPr="00712D0C">
        <w:rPr>
          <w:rFonts w:ascii="Times New Roman" w:eastAsia="Calibri" w:hAnsi="Times New Roman" w:cs="Times New Roman"/>
          <w:color w:val="000000"/>
          <w:sz w:val="24"/>
          <w:szCs w:val="24"/>
        </w:rPr>
        <w:t>«М</w:t>
      </w:r>
      <w:proofErr w:type="gramEnd"/>
      <w:r w:rsidRPr="00712D0C">
        <w:rPr>
          <w:rFonts w:ascii="Times New Roman" w:eastAsia="Calibri" w:hAnsi="Times New Roman" w:cs="Times New Roman"/>
          <w:color w:val="000000"/>
          <w:sz w:val="24"/>
          <w:szCs w:val="24"/>
        </w:rPr>
        <w:t>акаричская</w:t>
      </w:r>
      <w:proofErr w:type="spellEnd"/>
      <w:r w:rsidRPr="00712D0C">
        <w:rPr>
          <w:rFonts w:ascii="Times New Roman" w:eastAsia="Calibri" w:hAnsi="Times New Roman" w:cs="Times New Roman"/>
          <w:color w:val="000000"/>
          <w:sz w:val="24"/>
          <w:szCs w:val="24"/>
        </w:rPr>
        <w:t xml:space="preserve"> СОШ</w:t>
      </w:r>
      <w:r w:rsidRPr="00712D0C">
        <w:rPr>
          <w:rFonts w:ascii="Times New Roman" w:eastAsia="Calibri" w:hAnsi="Times New Roman" w:cs="Times New Roman"/>
          <w:sz w:val="24"/>
          <w:szCs w:val="24"/>
        </w:rPr>
        <w:t xml:space="preserve">»  реализуется следующая цель: </w:t>
      </w:r>
    </w:p>
    <w:p w:rsidR="00712D0C" w:rsidRPr="00712D0C" w:rsidRDefault="00712D0C" w:rsidP="00712D0C">
      <w:pPr>
        <w:autoSpaceDE w:val="0"/>
        <w:autoSpaceDN w:val="0"/>
        <w:adjustRightInd w:val="0"/>
        <w:spacing w:after="0" w:line="240" w:lineRule="auto"/>
        <w:ind w:firstLine="708"/>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712D0C">
        <w:rPr>
          <w:rFonts w:ascii="Times New Roman" w:eastAsia="Calibri" w:hAnsi="Times New Roman" w:cs="Times New Roman"/>
          <w:b/>
          <w:sz w:val="24"/>
          <w:szCs w:val="24"/>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712D0C" w:rsidRPr="00712D0C" w:rsidRDefault="00712D0C" w:rsidP="00712D0C">
      <w:pPr>
        <w:autoSpaceDE w:val="0"/>
        <w:autoSpaceDN w:val="0"/>
        <w:adjustRightInd w:val="0"/>
        <w:spacing w:after="0" w:line="240" w:lineRule="auto"/>
        <w:jc w:val="center"/>
        <w:rPr>
          <w:rFonts w:ascii="Times New Roman" w:eastAsia="Calibri" w:hAnsi="Times New Roman" w:cs="Times New Roman"/>
          <w:sz w:val="24"/>
          <w:szCs w:val="24"/>
        </w:rPr>
      </w:pPr>
      <w:r w:rsidRPr="00712D0C">
        <w:rPr>
          <w:rFonts w:ascii="Times New Roman" w:eastAsia="Calibri" w:hAnsi="Times New Roman" w:cs="Times New Roman"/>
          <w:b/>
          <w:sz w:val="24"/>
          <w:szCs w:val="24"/>
        </w:rPr>
        <w:t>Задачи программы внеурочной деятельности:</w:t>
      </w:r>
    </w:p>
    <w:p w:rsidR="00712D0C" w:rsidRPr="00712D0C" w:rsidRDefault="00712D0C" w:rsidP="00712D0C">
      <w:pPr>
        <w:autoSpaceDE w:val="0"/>
        <w:autoSpaceDN w:val="0"/>
        <w:adjustRightInd w:val="0"/>
        <w:spacing w:after="0" w:line="240" w:lineRule="auto"/>
        <w:jc w:val="center"/>
        <w:rPr>
          <w:rFonts w:ascii="Times New Roman" w:eastAsia="Calibri" w:hAnsi="Times New Roman" w:cs="Times New Roman"/>
          <w:sz w:val="24"/>
          <w:szCs w:val="24"/>
        </w:rPr>
      </w:pP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выявить интересы, склонности, способности, возможности учащихся к различным видам деятельности;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оказать помощь в поисках «себя»;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создать условия для индивидуального развития в избранной сфере внеурочной деятельности;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развить опыт творческой деятельности, творческих способностей;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создать условия для реализации приобретенных знаний, умений и навыков;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развить опыт неформального общения, взаимодействия, сотрудничества;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расширить рамки общения с социумом; </w:t>
      </w:r>
    </w:p>
    <w:p w:rsidR="00712D0C" w:rsidRPr="00712D0C" w:rsidRDefault="00712D0C" w:rsidP="00712D0C">
      <w:pPr>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 воспитывать культуру досуговой деятельности учащихся. </w:t>
      </w:r>
    </w:p>
    <w:p w:rsidR="00712D0C" w:rsidRPr="00712D0C" w:rsidRDefault="00712D0C" w:rsidP="00712D0C">
      <w:pPr>
        <w:autoSpaceDE w:val="0"/>
        <w:autoSpaceDN w:val="0"/>
        <w:adjustRightInd w:val="0"/>
        <w:spacing w:after="0" w:line="240" w:lineRule="auto"/>
        <w:jc w:val="both"/>
        <w:rPr>
          <w:rFonts w:ascii="Times New Roman" w:eastAsia="Calibri" w:hAnsi="Times New Roman" w:cs="Times New Roman"/>
          <w:color w:val="000000"/>
          <w:sz w:val="24"/>
          <w:szCs w:val="24"/>
        </w:rPr>
      </w:pPr>
    </w:p>
    <w:p w:rsidR="00712D0C" w:rsidRPr="00712D0C" w:rsidRDefault="00712D0C" w:rsidP="00712D0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712D0C" w:rsidRPr="00712D0C" w:rsidRDefault="00712D0C" w:rsidP="00712D0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12D0C">
        <w:rPr>
          <w:rFonts w:ascii="Times New Roman" w:eastAsia="Calibri" w:hAnsi="Times New Roman" w:cs="Times New Roman"/>
          <w:b/>
          <w:bCs/>
          <w:color w:val="000000"/>
          <w:sz w:val="24"/>
          <w:szCs w:val="24"/>
        </w:rPr>
        <w:t>Направления внеурочной деятельности:</w:t>
      </w:r>
    </w:p>
    <w:p w:rsidR="00712D0C" w:rsidRPr="00712D0C" w:rsidRDefault="00712D0C" w:rsidP="00712D0C">
      <w:pPr>
        <w:autoSpaceDE w:val="0"/>
        <w:autoSpaceDN w:val="0"/>
        <w:adjustRightInd w:val="0"/>
        <w:spacing w:after="0" w:line="240" w:lineRule="auto"/>
        <w:rPr>
          <w:rFonts w:ascii="Times New Roman" w:eastAsia="Calibri" w:hAnsi="Times New Roman" w:cs="Times New Roman"/>
          <w:color w:val="000000"/>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Внеурочная деятельность организуется по следующим направлениям: </w:t>
      </w: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06"/>
        <w:gridCol w:w="5625"/>
      </w:tblGrid>
      <w:tr w:rsidR="00712D0C" w:rsidRPr="00712D0C" w:rsidTr="00712D0C">
        <w:tc>
          <w:tcPr>
            <w:tcW w:w="39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 xml:space="preserve">№ </w:t>
            </w:r>
            <w:proofErr w:type="gramStart"/>
            <w:r w:rsidRPr="00712D0C">
              <w:rPr>
                <w:rFonts w:ascii="Times New Roman" w:eastAsia="Calibri" w:hAnsi="Times New Roman" w:cs="Times New Roman"/>
                <w:sz w:val="24"/>
                <w:szCs w:val="24"/>
              </w:rPr>
              <w:t>п</w:t>
            </w:r>
            <w:proofErr w:type="gramEnd"/>
            <w:r w:rsidRPr="00712D0C">
              <w:rPr>
                <w:rFonts w:ascii="Times New Roman" w:eastAsia="Calibri" w:hAnsi="Times New Roman" w:cs="Times New Roman"/>
                <w:sz w:val="24"/>
                <w:szCs w:val="24"/>
              </w:rPr>
              <w:t>/п</w:t>
            </w:r>
          </w:p>
        </w:tc>
        <w:tc>
          <w:tcPr>
            <w:tcW w:w="3544"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Направления развития личности</w:t>
            </w:r>
          </w:p>
        </w:tc>
        <w:tc>
          <w:tcPr>
            <w:tcW w:w="5969"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Предполагаемые результаты</w:t>
            </w:r>
          </w:p>
        </w:tc>
      </w:tr>
      <w:tr w:rsidR="00712D0C" w:rsidRPr="00712D0C" w:rsidTr="00712D0C">
        <w:tc>
          <w:tcPr>
            <w:tcW w:w="39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Спортивно-оздоровительное</w:t>
            </w:r>
          </w:p>
        </w:tc>
        <w:tc>
          <w:tcPr>
            <w:tcW w:w="5969"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12D0C" w:rsidRPr="00712D0C" w:rsidTr="00712D0C">
        <w:tc>
          <w:tcPr>
            <w:tcW w:w="39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Духовно-нравственное</w:t>
            </w:r>
          </w:p>
        </w:tc>
        <w:tc>
          <w:tcPr>
            <w:tcW w:w="5969"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12D0C" w:rsidRPr="00712D0C" w:rsidTr="00712D0C">
        <w:tc>
          <w:tcPr>
            <w:tcW w:w="39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Социальное</w:t>
            </w:r>
          </w:p>
        </w:tc>
        <w:tc>
          <w:tcPr>
            <w:tcW w:w="5969"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Формирование таких ценностей как познание, истина, целеустремленность, социально - значимой деятельности</w:t>
            </w:r>
          </w:p>
        </w:tc>
      </w:tr>
      <w:tr w:rsidR="00712D0C" w:rsidRPr="00712D0C" w:rsidTr="00712D0C">
        <w:tc>
          <w:tcPr>
            <w:tcW w:w="39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Интеллектуальное</w:t>
            </w:r>
          </w:p>
        </w:tc>
        <w:tc>
          <w:tcPr>
            <w:tcW w:w="5969"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Обогащение запаса учащихся языковыми знаниями, способствующие формированию мировоззрения, эрудиции, кругозора.</w:t>
            </w:r>
          </w:p>
        </w:tc>
      </w:tr>
      <w:tr w:rsidR="00712D0C" w:rsidRPr="00712D0C" w:rsidTr="00712D0C">
        <w:tc>
          <w:tcPr>
            <w:tcW w:w="39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r w:rsidRPr="00712D0C">
              <w:rPr>
                <w:rFonts w:ascii="Times New Roman" w:eastAsia="Calibri" w:hAnsi="Times New Roman" w:cs="Times New Roman"/>
                <w:sz w:val="24"/>
                <w:szCs w:val="24"/>
              </w:rPr>
              <w:t>Общекультурное</w:t>
            </w:r>
          </w:p>
        </w:tc>
        <w:tc>
          <w:tcPr>
            <w:tcW w:w="5969"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autoSpaceDE w:val="0"/>
              <w:autoSpaceDN w:val="0"/>
              <w:adjustRightInd w:val="0"/>
              <w:spacing w:after="0" w:line="240" w:lineRule="auto"/>
              <w:jc w:val="both"/>
              <w:rPr>
                <w:rFonts w:ascii="Times New Roman" w:eastAsia="Calibri" w:hAnsi="Times New Roman" w:cs="Times New Roman"/>
                <w:sz w:val="24"/>
                <w:szCs w:val="24"/>
              </w:rPr>
            </w:pPr>
            <w:r w:rsidRPr="00712D0C">
              <w:rPr>
                <w:rFonts w:ascii="Times New Roman" w:eastAsia="Calibri"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jc w:val="center"/>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tbl>
      <w:tblPr>
        <w:tblpPr w:leftFromText="180" w:rightFromText="180" w:vertAnchor="text" w:horzAnchor="margin" w:tblpY="-36"/>
        <w:tblW w:w="9633" w:type="dxa"/>
        <w:tblLook w:val="04A0" w:firstRow="1" w:lastRow="0" w:firstColumn="1" w:lastColumn="0" w:noHBand="0" w:noVBand="1"/>
      </w:tblPr>
      <w:tblGrid>
        <w:gridCol w:w="489"/>
        <w:gridCol w:w="3864"/>
        <w:gridCol w:w="2924"/>
        <w:gridCol w:w="1066"/>
        <w:gridCol w:w="1068"/>
        <w:gridCol w:w="222"/>
      </w:tblGrid>
      <w:tr w:rsidR="00712D0C" w:rsidRPr="00712D0C" w:rsidTr="00712D0C">
        <w:trPr>
          <w:trHeight w:val="85"/>
        </w:trPr>
        <w:tc>
          <w:tcPr>
            <w:tcW w:w="490"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3872" w:type="dxa"/>
            <w:vMerge w:val="restart"/>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Направления развития личности</w:t>
            </w:r>
          </w:p>
        </w:tc>
        <w:tc>
          <w:tcPr>
            <w:tcW w:w="2927" w:type="dxa"/>
            <w:vMerge w:val="restart"/>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2344" w:type="dxa"/>
            <w:gridSpan w:val="3"/>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rPr>
                <w:rFonts w:ascii="Calibri" w:eastAsia="Calibri" w:hAnsi="Calibri" w:cs="Times New Roman"/>
              </w:rPr>
            </w:pPr>
            <w:r w:rsidRPr="00712D0C">
              <w:rPr>
                <w:rFonts w:ascii="Calibri" w:eastAsia="Calibri" w:hAnsi="Calibri" w:cs="Times New Roman"/>
              </w:rPr>
              <w:t>классы</w:t>
            </w:r>
          </w:p>
        </w:tc>
      </w:tr>
      <w:tr w:rsidR="00712D0C" w:rsidRPr="00712D0C" w:rsidTr="00712D0C">
        <w:trPr>
          <w:trHeight w:val="661"/>
        </w:trPr>
        <w:tc>
          <w:tcPr>
            <w:tcW w:w="490"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D0C" w:rsidRPr="00712D0C" w:rsidRDefault="00712D0C" w:rsidP="00712D0C">
            <w:pPr>
              <w:spacing w:after="0" w:line="240" w:lineRule="auto"/>
              <w:rPr>
                <w:rFonts w:ascii="Calibri" w:eastAsia="Calibri"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D0C" w:rsidRPr="00712D0C" w:rsidRDefault="00712D0C" w:rsidP="00712D0C">
            <w:pPr>
              <w:spacing w:after="0" w:line="240" w:lineRule="auto"/>
              <w:rPr>
                <w:rFonts w:ascii="Calibri" w:eastAsia="Calibri" w:hAnsi="Calibri" w:cs="Times New Roman"/>
                <w:b/>
                <w:sz w:val="20"/>
                <w:szCs w:val="20"/>
              </w:rPr>
            </w:pPr>
          </w:p>
        </w:tc>
        <w:tc>
          <w:tcPr>
            <w:tcW w:w="107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10</w:t>
            </w:r>
          </w:p>
        </w:tc>
        <w:tc>
          <w:tcPr>
            <w:tcW w:w="1071"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11</w:t>
            </w:r>
          </w:p>
        </w:tc>
        <w:tc>
          <w:tcPr>
            <w:tcW w:w="203" w:type="dxa"/>
          </w:tcPr>
          <w:p w:rsidR="00712D0C" w:rsidRPr="00712D0C" w:rsidRDefault="00712D0C" w:rsidP="00712D0C">
            <w:pPr>
              <w:rPr>
                <w:rFonts w:ascii="Calibri" w:eastAsia="Calibri" w:hAnsi="Calibri" w:cs="Times New Roman"/>
              </w:rPr>
            </w:pPr>
          </w:p>
        </w:tc>
      </w:tr>
      <w:tr w:rsidR="00712D0C" w:rsidRPr="00712D0C" w:rsidTr="00712D0C">
        <w:trPr>
          <w:trHeight w:val="797"/>
        </w:trPr>
        <w:tc>
          <w:tcPr>
            <w:tcW w:w="49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1</w:t>
            </w:r>
          </w:p>
        </w:tc>
        <w:tc>
          <w:tcPr>
            <w:tcW w:w="387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Times New Roman" w:eastAsia="Calibri" w:hAnsi="Times New Roman" w:cs="Times New Roman"/>
                <w:b/>
                <w:sz w:val="20"/>
                <w:szCs w:val="20"/>
              </w:rPr>
              <w:t>Спортивно-оздоровительное направление</w:t>
            </w:r>
          </w:p>
        </w:tc>
        <w:tc>
          <w:tcPr>
            <w:tcW w:w="2927"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 xml:space="preserve">Реализуется  в рамках </w:t>
            </w:r>
            <w:proofErr w:type="gramStart"/>
            <w:r w:rsidRPr="00712D0C">
              <w:rPr>
                <w:rFonts w:ascii="Calibri" w:eastAsia="Calibri" w:hAnsi="Calibri" w:cs="Times New Roman"/>
                <w:b/>
                <w:sz w:val="20"/>
                <w:szCs w:val="20"/>
              </w:rPr>
              <w:t>:р</w:t>
            </w:r>
            <w:proofErr w:type="gramEnd"/>
            <w:r w:rsidRPr="00712D0C">
              <w:rPr>
                <w:rFonts w:ascii="Calibri" w:eastAsia="Calibri" w:hAnsi="Calibri" w:cs="Times New Roman"/>
                <w:b/>
                <w:sz w:val="20"/>
                <w:szCs w:val="20"/>
              </w:rPr>
              <w:t>аботы спортивного клуба «Витязь»   спортивных мероприятий.</w:t>
            </w:r>
          </w:p>
        </w:tc>
        <w:tc>
          <w:tcPr>
            <w:tcW w:w="1070"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203" w:type="dxa"/>
          </w:tcPr>
          <w:p w:rsidR="00712D0C" w:rsidRPr="00712D0C" w:rsidRDefault="00712D0C" w:rsidP="00712D0C">
            <w:pPr>
              <w:rPr>
                <w:rFonts w:ascii="Calibri" w:eastAsia="Calibri" w:hAnsi="Calibri" w:cs="Times New Roman"/>
              </w:rPr>
            </w:pPr>
          </w:p>
        </w:tc>
      </w:tr>
      <w:tr w:rsidR="00712D0C" w:rsidRPr="00712D0C" w:rsidTr="00712D0C">
        <w:trPr>
          <w:trHeight w:val="956"/>
        </w:trPr>
        <w:tc>
          <w:tcPr>
            <w:tcW w:w="49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2</w:t>
            </w:r>
          </w:p>
        </w:tc>
        <w:tc>
          <w:tcPr>
            <w:tcW w:w="387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Times New Roman" w:eastAsia="Calibri" w:hAnsi="Times New Roman" w:cs="Times New Roman"/>
                <w:b/>
                <w:sz w:val="20"/>
                <w:szCs w:val="20"/>
              </w:rPr>
              <w:t>Духовно-нравственное направление</w:t>
            </w:r>
          </w:p>
        </w:tc>
        <w:tc>
          <w:tcPr>
            <w:tcW w:w="2927"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rPr>
                <w:rFonts w:ascii="Calibri" w:eastAsia="Calibri" w:hAnsi="Calibri" w:cs="Times New Roman"/>
              </w:rPr>
            </w:pPr>
            <w:r w:rsidRPr="00712D0C">
              <w:rPr>
                <w:rFonts w:ascii="Calibri" w:eastAsia="Calibri" w:hAnsi="Calibri" w:cs="Times New Roman"/>
              </w:rPr>
              <w:t xml:space="preserve">Разговоры о </w:t>
            </w:r>
            <w:proofErr w:type="gramStart"/>
            <w:r w:rsidRPr="00712D0C">
              <w:rPr>
                <w:rFonts w:ascii="Calibri" w:eastAsia="Calibri" w:hAnsi="Calibri" w:cs="Times New Roman"/>
              </w:rPr>
              <w:t>важном</w:t>
            </w:r>
            <w:proofErr w:type="gramEnd"/>
          </w:p>
        </w:tc>
        <w:tc>
          <w:tcPr>
            <w:tcW w:w="107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b/>
                <w:sz w:val="20"/>
                <w:szCs w:val="20"/>
              </w:rPr>
            </w:pPr>
          </w:p>
        </w:tc>
        <w:tc>
          <w:tcPr>
            <w:tcW w:w="1071"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b/>
                <w:sz w:val="20"/>
                <w:szCs w:val="20"/>
              </w:rPr>
            </w:pPr>
            <w:r w:rsidRPr="00712D0C">
              <w:rPr>
                <w:rFonts w:ascii="Calibri" w:eastAsia="Calibri" w:hAnsi="Calibri" w:cs="Times New Roman"/>
                <w:b/>
                <w:sz w:val="20"/>
                <w:szCs w:val="20"/>
              </w:rPr>
              <w:t>1,0</w:t>
            </w:r>
          </w:p>
        </w:tc>
        <w:tc>
          <w:tcPr>
            <w:tcW w:w="203" w:type="dxa"/>
          </w:tcPr>
          <w:p w:rsidR="00712D0C" w:rsidRPr="00712D0C" w:rsidRDefault="00712D0C" w:rsidP="00712D0C">
            <w:pPr>
              <w:rPr>
                <w:rFonts w:ascii="Calibri" w:eastAsia="Calibri" w:hAnsi="Calibri" w:cs="Times New Roman"/>
              </w:rPr>
            </w:pPr>
          </w:p>
        </w:tc>
      </w:tr>
      <w:tr w:rsidR="00712D0C" w:rsidRPr="00712D0C" w:rsidTr="00712D0C">
        <w:trPr>
          <w:trHeight w:val="534"/>
        </w:trPr>
        <w:tc>
          <w:tcPr>
            <w:tcW w:w="49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3</w:t>
            </w:r>
          </w:p>
        </w:tc>
        <w:tc>
          <w:tcPr>
            <w:tcW w:w="387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Times New Roman" w:eastAsia="Calibri" w:hAnsi="Times New Roman" w:cs="Times New Roman"/>
                <w:b/>
                <w:sz w:val="20"/>
                <w:szCs w:val="20"/>
              </w:rPr>
              <w:t>Социальное  направление</w:t>
            </w:r>
          </w:p>
        </w:tc>
        <w:tc>
          <w:tcPr>
            <w:tcW w:w="2927" w:type="dxa"/>
            <w:tcBorders>
              <w:top w:val="single" w:sz="4" w:space="0" w:color="000000"/>
              <w:left w:val="single" w:sz="4" w:space="0" w:color="000000"/>
              <w:bottom w:val="single" w:sz="4" w:space="0" w:color="000000"/>
              <w:right w:val="single" w:sz="4" w:space="0" w:color="000000"/>
            </w:tcBorders>
          </w:tcPr>
          <w:p w:rsidR="00712D0C" w:rsidRDefault="00712D0C" w:rsidP="00712D0C">
            <w:pPr>
              <w:spacing w:after="0" w:line="240" w:lineRule="auto"/>
              <w:rPr>
                <w:rFonts w:ascii="Calibri" w:eastAsia="Calibri" w:hAnsi="Calibri" w:cs="Times New Roman"/>
                <w:b/>
                <w:sz w:val="20"/>
                <w:szCs w:val="20"/>
              </w:rPr>
            </w:pPr>
            <w:proofErr w:type="spellStart"/>
            <w:r w:rsidRPr="00712D0C">
              <w:rPr>
                <w:rFonts w:ascii="Calibri" w:eastAsia="Calibri" w:hAnsi="Calibri" w:cs="Times New Roman"/>
                <w:b/>
                <w:sz w:val="20"/>
                <w:szCs w:val="20"/>
              </w:rPr>
              <w:t>Основы</w:t>
            </w:r>
            <w:r>
              <w:rPr>
                <w:rFonts w:ascii="Calibri" w:eastAsia="Calibri" w:hAnsi="Calibri" w:cs="Times New Roman"/>
                <w:b/>
                <w:sz w:val="20"/>
                <w:szCs w:val="20"/>
              </w:rPr>
              <w:t>функциональной</w:t>
            </w:r>
            <w:proofErr w:type="spellEnd"/>
            <w:r>
              <w:rPr>
                <w:rFonts w:ascii="Calibri" w:eastAsia="Calibri" w:hAnsi="Calibri" w:cs="Times New Roman"/>
                <w:b/>
                <w:sz w:val="20"/>
                <w:szCs w:val="20"/>
              </w:rPr>
              <w:t xml:space="preserve"> грамотности.</w:t>
            </w:r>
          </w:p>
          <w:p w:rsidR="00712D0C" w:rsidRPr="00712D0C" w:rsidRDefault="00712D0C" w:rsidP="00712D0C">
            <w:pPr>
              <w:spacing w:after="0" w:line="240" w:lineRule="auto"/>
              <w:rPr>
                <w:rFonts w:ascii="Calibri" w:eastAsia="Calibri" w:hAnsi="Calibri" w:cs="Times New Roman"/>
              </w:rPr>
            </w:pPr>
            <w:proofErr w:type="spellStart"/>
            <w:r>
              <w:rPr>
                <w:rFonts w:ascii="Calibri" w:eastAsia="Calibri" w:hAnsi="Calibri" w:cs="Times New Roman"/>
                <w:b/>
                <w:sz w:val="20"/>
                <w:szCs w:val="20"/>
              </w:rPr>
              <w:t>Профориентационные</w:t>
            </w:r>
            <w:proofErr w:type="spellEnd"/>
            <w:r>
              <w:rPr>
                <w:rFonts w:ascii="Calibri" w:eastAsia="Calibri" w:hAnsi="Calibri" w:cs="Times New Roman"/>
                <w:b/>
                <w:sz w:val="20"/>
                <w:szCs w:val="20"/>
              </w:rPr>
              <w:t xml:space="preserve"> мероприятия в рамках программы воспитания «</w:t>
            </w:r>
            <w:proofErr w:type="gramStart"/>
            <w:r>
              <w:rPr>
                <w:rFonts w:ascii="Calibri" w:eastAsia="Calibri" w:hAnsi="Calibri" w:cs="Times New Roman"/>
                <w:b/>
                <w:sz w:val="20"/>
                <w:szCs w:val="20"/>
              </w:rPr>
              <w:t>,Б</w:t>
            </w:r>
            <w:proofErr w:type="gramEnd"/>
            <w:r>
              <w:rPr>
                <w:rFonts w:ascii="Calibri" w:eastAsia="Calibri" w:hAnsi="Calibri" w:cs="Times New Roman"/>
                <w:b/>
                <w:sz w:val="20"/>
                <w:szCs w:val="20"/>
              </w:rPr>
              <w:t>илет в будущее»</w:t>
            </w:r>
          </w:p>
          <w:p w:rsidR="00712D0C" w:rsidRPr="00712D0C" w:rsidRDefault="00712D0C" w:rsidP="00712D0C">
            <w:pPr>
              <w:spacing w:after="0" w:line="240" w:lineRule="auto"/>
              <w:rPr>
                <w:rFonts w:ascii="Calibri" w:eastAsia="Calibri" w:hAnsi="Calibri" w:cs="Times New Roman"/>
                <w:b/>
                <w:sz w:val="20"/>
                <w:szCs w:val="20"/>
              </w:rPr>
            </w:pPr>
          </w:p>
        </w:tc>
        <w:tc>
          <w:tcPr>
            <w:tcW w:w="107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p>
        </w:tc>
        <w:tc>
          <w:tcPr>
            <w:tcW w:w="1071"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rPr>
                <w:rFonts w:ascii="Calibri" w:eastAsia="Calibri" w:hAnsi="Calibri" w:cs="Times New Roman"/>
              </w:rPr>
            </w:pPr>
            <w:r>
              <w:rPr>
                <w:rFonts w:ascii="Calibri" w:eastAsia="Calibri" w:hAnsi="Calibri" w:cs="Times New Roman"/>
                <w:b/>
                <w:sz w:val="20"/>
                <w:szCs w:val="20"/>
              </w:rPr>
              <w:t>1,0</w:t>
            </w:r>
          </w:p>
        </w:tc>
        <w:tc>
          <w:tcPr>
            <w:tcW w:w="203" w:type="dxa"/>
          </w:tcPr>
          <w:p w:rsidR="00712D0C" w:rsidRPr="00712D0C" w:rsidRDefault="00712D0C" w:rsidP="00712D0C">
            <w:pPr>
              <w:rPr>
                <w:rFonts w:ascii="Calibri" w:eastAsia="Calibri" w:hAnsi="Calibri" w:cs="Times New Roman"/>
              </w:rPr>
            </w:pPr>
          </w:p>
        </w:tc>
      </w:tr>
      <w:tr w:rsidR="00712D0C" w:rsidRPr="00712D0C" w:rsidTr="00712D0C">
        <w:trPr>
          <w:trHeight w:val="643"/>
        </w:trPr>
        <w:tc>
          <w:tcPr>
            <w:tcW w:w="49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4</w:t>
            </w:r>
          </w:p>
        </w:tc>
        <w:tc>
          <w:tcPr>
            <w:tcW w:w="387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proofErr w:type="spellStart"/>
            <w:r w:rsidRPr="00712D0C">
              <w:rPr>
                <w:rFonts w:ascii="Times New Roman" w:eastAsia="Calibri" w:hAnsi="Times New Roman" w:cs="Times New Roman"/>
                <w:b/>
                <w:sz w:val="20"/>
                <w:szCs w:val="20"/>
              </w:rPr>
              <w:t>Общеинтеллектуальное</w:t>
            </w:r>
            <w:proofErr w:type="spellEnd"/>
            <w:r w:rsidRPr="00712D0C">
              <w:rPr>
                <w:rFonts w:ascii="Times New Roman" w:eastAsia="Calibri" w:hAnsi="Times New Roman" w:cs="Times New Roman"/>
                <w:b/>
                <w:sz w:val="20"/>
                <w:szCs w:val="20"/>
              </w:rPr>
              <w:t xml:space="preserve"> направление</w:t>
            </w:r>
          </w:p>
        </w:tc>
        <w:tc>
          <w:tcPr>
            <w:tcW w:w="2927"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формирование функциональной грамотности</w:t>
            </w:r>
          </w:p>
          <w:p w:rsidR="00712D0C" w:rsidRPr="00712D0C" w:rsidRDefault="00712D0C" w:rsidP="00712D0C">
            <w:pPr>
              <w:spacing w:after="0" w:line="240" w:lineRule="auto"/>
              <w:rPr>
                <w:rFonts w:ascii="Calibri" w:eastAsia="Calibri" w:hAnsi="Calibri" w:cs="Times New Roman"/>
                <w:b/>
                <w:sz w:val="20"/>
                <w:szCs w:val="20"/>
              </w:rPr>
            </w:pPr>
          </w:p>
          <w:p w:rsidR="00712D0C" w:rsidRPr="00712D0C" w:rsidRDefault="00712D0C" w:rsidP="00712D0C">
            <w:pPr>
              <w:spacing w:after="0" w:line="240" w:lineRule="auto"/>
              <w:rPr>
                <w:rFonts w:ascii="Calibri" w:eastAsia="Calibri" w:hAnsi="Calibri" w:cs="Times New Roman"/>
                <w:b/>
                <w:sz w:val="20"/>
                <w:szCs w:val="20"/>
              </w:rPr>
            </w:pPr>
          </w:p>
        </w:tc>
        <w:tc>
          <w:tcPr>
            <w:tcW w:w="107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b/>
                <w:sz w:val="20"/>
                <w:szCs w:val="20"/>
              </w:rPr>
            </w:pPr>
          </w:p>
        </w:tc>
        <w:tc>
          <w:tcPr>
            <w:tcW w:w="1071"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Pr>
                <w:rFonts w:ascii="Calibri" w:eastAsia="Calibri" w:hAnsi="Calibri" w:cs="Times New Roman"/>
                <w:b/>
                <w:sz w:val="20"/>
                <w:szCs w:val="20"/>
              </w:rPr>
              <w:t>0,25</w:t>
            </w:r>
            <w:bookmarkStart w:id="0" w:name="_GoBack"/>
            <w:bookmarkEnd w:id="0"/>
          </w:p>
        </w:tc>
        <w:tc>
          <w:tcPr>
            <w:tcW w:w="203" w:type="dxa"/>
          </w:tcPr>
          <w:p w:rsidR="00712D0C" w:rsidRPr="00712D0C" w:rsidRDefault="00712D0C" w:rsidP="00712D0C">
            <w:pPr>
              <w:rPr>
                <w:rFonts w:ascii="Calibri" w:eastAsia="Calibri" w:hAnsi="Calibri" w:cs="Times New Roman"/>
              </w:rPr>
            </w:pPr>
          </w:p>
        </w:tc>
      </w:tr>
      <w:tr w:rsidR="00712D0C" w:rsidRPr="00712D0C" w:rsidTr="00712D0C">
        <w:trPr>
          <w:trHeight w:val="737"/>
        </w:trPr>
        <w:tc>
          <w:tcPr>
            <w:tcW w:w="490"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5</w:t>
            </w:r>
          </w:p>
        </w:tc>
        <w:tc>
          <w:tcPr>
            <w:tcW w:w="3872"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Times New Roman" w:eastAsia="Calibri" w:hAnsi="Times New Roman" w:cs="Times New Roman"/>
                <w:b/>
                <w:sz w:val="20"/>
                <w:szCs w:val="20"/>
              </w:rPr>
              <w:t>Общекультурное направление</w:t>
            </w:r>
          </w:p>
        </w:tc>
        <w:tc>
          <w:tcPr>
            <w:tcW w:w="2927" w:type="dxa"/>
            <w:tcBorders>
              <w:top w:val="single" w:sz="4" w:space="0" w:color="000000"/>
              <w:left w:val="single" w:sz="4" w:space="0" w:color="000000"/>
              <w:bottom w:val="single" w:sz="4" w:space="0" w:color="000000"/>
              <w:right w:val="single" w:sz="4" w:space="0" w:color="000000"/>
            </w:tcBorders>
            <w:hideMark/>
          </w:tcPr>
          <w:p w:rsidR="00712D0C" w:rsidRPr="00712D0C" w:rsidRDefault="00712D0C" w:rsidP="00712D0C">
            <w:pPr>
              <w:spacing w:after="0" w:line="240" w:lineRule="auto"/>
              <w:rPr>
                <w:rFonts w:ascii="Calibri" w:eastAsia="Calibri" w:hAnsi="Calibri" w:cs="Times New Roman"/>
              </w:rPr>
            </w:pPr>
            <w:r w:rsidRPr="00712D0C">
              <w:rPr>
                <w:rFonts w:ascii="Calibri" w:eastAsia="Calibri" w:hAnsi="Calibri" w:cs="Times New Roman"/>
                <w:b/>
                <w:sz w:val="20"/>
                <w:szCs w:val="20"/>
              </w:rPr>
              <w:t>Реализуется в рамках</w:t>
            </w:r>
            <w:proofErr w:type="gramStart"/>
            <w:r w:rsidRPr="00712D0C">
              <w:rPr>
                <w:rFonts w:ascii="Calibri" w:eastAsia="Calibri" w:hAnsi="Calibri" w:cs="Times New Roman"/>
                <w:b/>
                <w:sz w:val="20"/>
                <w:szCs w:val="20"/>
              </w:rPr>
              <w:t xml:space="preserve"> :</w:t>
            </w:r>
            <w:proofErr w:type="gramEnd"/>
            <w:r w:rsidRPr="00712D0C">
              <w:rPr>
                <w:rFonts w:ascii="Calibri" w:eastAsia="Calibri" w:hAnsi="Calibri" w:cs="Times New Roman"/>
                <w:b/>
                <w:sz w:val="20"/>
                <w:szCs w:val="20"/>
              </w:rPr>
              <w:t xml:space="preserve"> работы кружка «Первая роль», общешкольных и классных  мероприятий.</w:t>
            </w:r>
          </w:p>
        </w:tc>
        <w:tc>
          <w:tcPr>
            <w:tcW w:w="1070"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1071" w:type="dxa"/>
            <w:tcBorders>
              <w:top w:val="single" w:sz="4" w:space="0" w:color="000000"/>
              <w:left w:val="single" w:sz="4" w:space="0" w:color="000000"/>
              <w:bottom w:val="single" w:sz="4" w:space="0" w:color="000000"/>
              <w:right w:val="single" w:sz="4" w:space="0" w:color="000000"/>
            </w:tcBorders>
          </w:tcPr>
          <w:p w:rsidR="00712D0C" w:rsidRPr="00712D0C" w:rsidRDefault="00712D0C" w:rsidP="00712D0C">
            <w:pPr>
              <w:spacing w:after="0" w:line="240" w:lineRule="auto"/>
              <w:rPr>
                <w:rFonts w:ascii="Calibri" w:eastAsia="Calibri" w:hAnsi="Calibri" w:cs="Times New Roman"/>
                <w:b/>
                <w:sz w:val="20"/>
                <w:szCs w:val="20"/>
              </w:rPr>
            </w:pPr>
          </w:p>
        </w:tc>
        <w:tc>
          <w:tcPr>
            <w:tcW w:w="203" w:type="dxa"/>
          </w:tcPr>
          <w:p w:rsidR="00712D0C" w:rsidRPr="00712D0C" w:rsidRDefault="00712D0C" w:rsidP="00712D0C">
            <w:pPr>
              <w:rPr>
                <w:rFonts w:ascii="Calibri" w:eastAsia="Calibri" w:hAnsi="Calibri" w:cs="Times New Roman"/>
              </w:rPr>
            </w:pPr>
          </w:p>
        </w:tc>
      </w:tr>
    </w:tbl>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712D0C" w:rsidRPr="00712D0C" w:rsidRDefault="00712D0C" w:rsidP="00712D0C">
      <w:pPr>
        <w:autoSpaceDE w:val="0"/>
        <w:autoSpaceDN w:val="0"/>
        <w:adjustRightInd w:val="0"/>
        <w:spacing w:after="0" w:line="240" w:lineRule="auto"/>
        <w:rPr>
          <w:rFonts w:ascii="Times New Roman" w:eastAsia="Calibri" w:hAnsi="Times New Roman" w:cs="Times New Roman"/>
          <w:sz w:val="24"/>
          <w:szCs w:val="24"/>
        </w:rPr>
      </w:pPr>
    </w:p>
    <w:p w:rsidR="00E94D94" w:rsidRDefault="00E94D94"/>
    <w:sectPr w:rsidR="00E9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0C"/>
    <w:rsid w:val="00712D0C"/>
    <w:rsid w:val="00E9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2023-09-14T06:43:00Z</dcterms:created>
  <dcterms:modified xsi:type="dcterms:W3CDTF">2023-09-14T06:46:00Z</dcterms:modified>
</cp:coreProperties>
</file>