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FC" w:rsidRDefault="00B955FC" w:rsidP="00B955FC">
      <w:pPr>
        <w:widowControl w:val="0"/>
        <w:spacing w:after="60" w:line="240" w:lineRule="auto"/>
        <w:outlineLvl w:val="1"/>
        <w:rPr>
          <w:rFonts w:ascii="Calibri" w:eastAsia="Calibri" w:hAnsi="Calibri" w:cs="Times New Roman"/>
          <w:sz w:val="18"/>
          <w:szCs w:val="18"/>
        </w:rPr>
      </w:pPr>
      <w:bookmarkStart w:id="0" w:name="_Toc105502818"/>
      <w:bookmarkStart w:id="1" w:name="bookmark1968"/>
      <w:r>
        <w:rPr>
          <w:rFonts w:ascii="Calibri" w:eastAsia="Calibri" w:hAnsi="Calibri" w:cs="Times New Roman"/>
          <w:sz w:val="18"/>
          <w:szCs w:val="18"/>
        </w:rPr>
        <w:t xml:space="preserve">                                                                                                                      </w:t>
      </w:r>
      <w:bookmarkStart w:id="2" w:name="_GoBack"/>
      <w:bookmarkEnd w:id="2"/>
      <w:r>
        <w:rPr>
          <w:rFonts w:ascii="Calibri" w:eastAsia="Calibri" w:hAnsi="Calibri" w:cs="Times New Roman"/>
          <w:sz w:val="18"/>
          <w:szCs w:val="18"/>
        </w:rPr>
        <w:t xml:space="preserve"> Приложение №4 к приказу №87 от 31.08.2023</w:t>
      </w:r>
    </w:p>
    <w:p w:rsidR="00B955FC" w:rsidRPr="00B955FC" w:rsidRDefault="00B955FC" w:rsidP="00B955FC">
      <w:pPr>
        <w:widowControl w:val="0"/>
        <w:spacing w:after="60" w:line="240" w:lineRule="auto"/>
        <w:outlineLvl w:val="1"/>
        <w:rPr>
          <w:rFonts w:ascii="Calibri" w:eastAsia="Calibri" w:hAnsi="Calibri" w:cs="Times New Roman"/>
          <w:sz w:val="18"/>
          <w:szCs w:val="18"/>
        </w:rPr>
      </w:pPr>
      <w:r w:rsidRPr="00B955FC">
        <w:rPr>
          <w:rFonts w:ascii="Calibri" w:eastAsia="Calibri" w:hAnsi="Calibri" w:cs="Times New Roman"/>
          <w:sz w:val="18"/>
          <w:szCs w:val="18"/>
        </w:rPr>
        <w:t>3.2.  ПЛАН ВНЕУРОЧНОЙ ДЕЯТЕЛЬНОСТИ</w:t>
      </w:r>
      <w:bookmarkEnd w:id="0"/>
      <w:bookmarkEnd w:id="1"/>
    </w:p>
    <w:p w:rsidR="00B955FC" w:rsidRPr="00B955FC" w:rsidRDefault="00B955FC" w:rsidP="00B955FC">
      <w:pPr>
        <w:widowControl w:val="0"/>
        <w:spacing w:after="0" w:line="240" w:lineRule="auto"/>
        <w:rPr>
          <w:rFonts w:ascii="Courier New" w:eastAsia="Courier New" w:hAnsi="Courier New" w:cs="Courier New"/>
          <w:color w:val="000000"/>
          <w:sz w:val="24"/>
          <w:szCs w:val="24"/>
          <w:lang w:eastAsia="ru-RU" w:bidi="ru-RU"/>
        </w:rPr>
      </w:pPr>
    </w:p>
    <w:p w:rsidR="00B955FC" w:rsidRPr="00B955FC" w:rsidRDefault="00B955FC" w:rsidP="00B955FC">
      <w:pPr>
        <w:widowControl w:val="0"/>
        <w:spacing w:after="0" w:line="280" w:lineRule="auto"/>
        <w:jc w:val="both"/>
        <w:rPr>
          <w:rFonts w:ascii="Times New Roman" w:eastAsia="Courier New" w:hAnsi="Times New Roman" w:cs="Times New Roman"/>
          <w:sz w:val="20"/>
          <w:szCs w:val="20"/>
          <w:lang w:eastAsia="ru-RU" w:bidi="ru-RU"/>
        </w:rPr>
      </w:pPr>
    </w:p>
    <w:p w:rsidR="00B955FC" w:rsidRPr="00B955FC" w:rsidRDefault="00B955FC" w:rsidP="00B955FC">
      <w:pPr>
        <w:keepNext/>
        <w:keepLines/>
        <w:widowControl w:val="0"/>
        <w:tabs>
          <w:tab w:val="left" w:pos="649"/>
        </w:tabs>
        <w:spacing w:after="60" w:line="252" w:lineRule="auto"/>
        <w:outlineLvl w:val="1"/>
        <w:rPr>
          <w:rFonts w:ascii="Calibri" w:eastAsia="Calibri" w:hAnsi="Calibri" w:cs="Times New Roman"/>
          <w:sz w:val="18"/>
          <w:szCs w:val="18"/>
        </w:rPr>
      </w:pPr>
      <w:bookmarkStart w:id="3" w:name="_Toc105502820"/>
      <w:bookmarkStart w:id="4" w:name="bookmark1972"/>
      <w:r w:rsidRPr="00B955FC">
        <w:rPr>
          <w:rFonts w:ascii="Calibri" w:eastAsia="Calibri" w:hAnsi="Calibri" w:cs="Times New Roman"/>
          <w:sz w:val="18"/>
          <w:szCs w:val="18"/>
        </w:rPr>
        <w:t>3.2.2. План внеурочной деятельности</w:t>
      </w:r>
      <w:bookmarkEnd w:id="3"/>
      <w:bookmarkEnd w:id="4"/>
    </w:p>
    <w:p w:rsidR="00B955FC" w:rsidRPr="00B955FC" w:rsidRDefault="00B955FC" w:rsidP="00B955FC">
      <w:pPr>
        <w:widowControl w:val="0"/>
        <w:spacing w:after="0" w:line="280" w:lineRule="auto"/>
        <w:ind w:firstLine="238"/>
        <w:jc w:val="both"/>
        <w:rPr>
          <w:rFonts w:ascii="Times New Roman" w:eastAsia="Courier New" w:hAnsi="Times New Roman" w:cs="Times New Roman"/>
          <w:sz w:val="20"/>
          <w:szCs w:val="20"/>
          <w:lang w:eastAsia="ru-RU" w:bidi="ru-RU"/>
        </w:rPr>
      </w:pPr>
      <w:r w:rsidRPr="00B955FC">
        <w:rPr>
          <w:rFonts w:ascii="Times New Roman" w:eastAsia="Courier New" w:hAnsi="Times New Roman" w:cs="Times New Roman"/>
          <w:sz w:val="20"/>
          <w:szCs w:val="20"/>
          <w:lang w:eastAsia="ru-RU" w:bidi="ru-RU"/>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B955FC">
        <w:rPr>
          <w:rFonts w:ascii="Times New Roman" w:eastAsia="Courier New" w:hAnsi="Times New Roman" w:cs="Times New Roman"/>
          <w:sz w:val="20"/>
          <w:szCs w:val="20"/>
          <w:lang w:eastAsia="ru-RU" w:bidi="ru-RU"/>
        </w:rPr>
        <w:t>метапредметных</w:t>
      </w:r>
      <w:proofErr w:type="spellEnd"/>
      <w:r w:rsidRPr="00B955FC">
        <w:rPr>
          <w:rFonts w:ascii="Times New Roman" w:eastAsia="Courier New" w:hAnsi="Times New Roman" w:cs="Times New Roman"/>
          <w:sz w:val="20"/>
          <w:szCs w:val="20"/>
          <w:lang w:eastAsia="ru-RU" w:bidi="ru-RU"/>
        </w:rPr>
        <w:t xml:space="preserve"> и предметных), осуществляемую в формах, отличных </w:t>
      </w:r>
      <w:proofErr w:type="gramStart"/>
      <w:r w:rsidRPr="00B955FC">
        <w:rPr>
          <w:rFonts w:ascii="Times New Roman" w:eastAsia="Courier New" w:hAnsi="Times New Roman" w:cs="Times New Roman"/>
          <w:sz w:val="20"/>
          <w:szCs w:val="20"/>
          <w:lang w:eastAsia="ru-RU" w:bidi="ru-RU"/>
        </w:rPr>
        <w:t>от</w:t>
      </w:r>
      <w:proofErr w:type="gramEnd"/>
      <w:r w:rsidRPr="00B955FC">
        <w:rPr>
          <w:rFonts w:ascii="Times New Roman" w:eastAsia="Courier New" w:hAnsi="Times New Roman" w:cs="Times New Roman"/>
          <w:sz w:val="20"/>
          <w:szCs w:val="20"/>
          <w:lang w:eastAsia="ru-RU" w:bidi="ru-RU"/>
        </w:rPr>
        <w:t xml:space="preserve"> урочной.</w:t>
      </w:r>
    </w:p>
    <w:p w:rsidR="00B955FC" w:rsidRPr="00B955FC" w:rsidRDefault="00B955FC" w:rsidP="00B955FC">
      <w:pPr>
        <w:widowControl w:val="0"/>
        <w:spacing w:after="0" w:line="280" w:lineRule="auto"/>
        <w:ind w:firstLine="238"/>
        <w:jc w:val="both"/>
        <w:rPr>
          <w:rFonts w:ascii="Times New Roman" w:eastAsia="Courier New" w:hAnsi="Times New Roman" w:cs="Times New Roman"/>
          <w:sz w:val="20"/>
          <w:szCs w:val="20"/>
          <w:lang w:eastAsia="ru-RU" w:bidi="ru-RU"/>
        </w:rPr>
      </w:pPr>
      <w:r w:rsidRPr="00B955FC">
        <w:rPr>
          <w:rFonts w:ascii="Times New Roman" w:eastAsia="Courier New" w:hAnsi="Times New Roman" w:cs="Times New Roman"/>
          <w:sz w:val="20"/>
          <w:szCs w:val="20"/>
          <w:lang w:eastAsia="ru-RU" w:bidi="ru-RU"/>
        </w:rPr>
        <w:t>Внеурочная деятельность является неотъемлемой и обязательной частью основной общеобразовательной программы.</w:t>
      </w:r>
    </w:p>
    <w:p w:rsidR="00B955FC" w:rsidRPr="00B955FC" w:rsidRDefault="00B955FC" w:rsidP="00B955FC">
      <w:pPr>
        <w:widowControl w:val="0"/>
        <w:spacing w:after="0" w:line="280" w:lineRule="auto"/>
        <w:ind w:firstLine="238"/>
        <w:jc w:val="both"/>
        <w:rPr>
          <w:rFonts w:ascii="Times New Roman" w:eastAsia="Courier New" w:hAnsi="Times New Roman" w:cs="Times New Roman"/>
          <w:sz w:val="20"/>
          <w:szCs w:val="20"/>
          <w:lang w:eastAsia="ru-RU" w:bidi="ru-RU"/>
        </w:rPr>
      </w:pPr>
      <w:r w:rsidRPr="00B955FC">
        <w:rPr>
          <w:rFonts w:ascii="Times New Roman" w:eastAsia="Courier New" w:hAnsi="Times New Roman" w:cs="Times New Roman"/>
          <w:sz w:val="20"/>
          <w:szCs w:val="20"/>
          <w:lang w:eastAsia="ru-RU" w:bidi="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B955FC" w:rsidRPr="00B955FC" w:rsidRDefault="00B955FC" w:rsidP="00B955FC">
      <w:pPr>
        <w:widowControl w:val="0"/>
        <w:numPr>
          <w:ilvl w:val="0"/>
          <w:numId w:val="1"/>
        </w:numPr>
        <w:spacing w:after="0" w:line="252" w:lineRule="auto"/>
        <w:jc w:val="both"/>
        <w:rPr>
          <w:rFonts w:ascii="Times New Roman" w:eastAsia="Times New Roman" w:hAnsi="Times New Roman" w:cs="Times New Roman"/>
          <w:sz w:val="20"/>
          <w:szCs w:val="20"/>
          <w:lang w:eastAsia="ru-RU" w:bidi="ru-RU"/>
        </w:rPr>
      </w:pPr>
      <w:proofErr w:type="gramStart"/>
      <w:r w:rsidRPr="00B955FC">
        <w:rPr>
          <w:rFonts w:ascii="Times New Roman" w:eastAsia="Times New Roman" w:hAnsi="Times New Roman" w:cs="Times New Roman"/>
          <w:sz w:val="20"/>
          <w:szCs w:val="20"/>
          <w:lang w:eastAsia="ru-RU" w:bidi="ru-RU"/>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B955FC" w:rsidRPr="00B955FC" w:rsidRDefault="00B955FC" w:rsidP="00B955FC">
      <w:pPr>
        <w:widowControl w:val="0"/>
        <w:numPr>
          <w:ilvl w:val="0"/>
          <w:numId w:val="1"/>
        </w:numPr>
        <w:spacing w:after="0" w:line="252" w:lineRule="auto"/>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B955FC">
        <w:rPr>
          <w:rFonts w:ascii="Times New Roman" w:eastAsia="Times New Roman" w:hAnsi="Times New Roman" w:cs="Times New Roman"/>
          <w:sz w:val="20"/>
          <w:szCs w:val="20"/>
          <w:lang w:eastAsia="ru-RU" w:bidi="ru-RU"/>
        </w:rPr>
        <w:t>обучающихся</w:t>
      </w:r>
      <w:proofErr w:type="gramEnd"/>
      <w:r w:rsidRPr="00B955FC">
        <w:rPr>
          <w:rFonts w:ascii="Times New Roman" w:eastAsia="Times New Roman" w:hAnsi="Times New Roman" w:cs="Times New Roman"/>
          <w:sz w:val="20"/>
          <w:szCs w:val="20"/>
          <w:lang w:eastAsia="ru-RU" w:bidi="ru-RU"/>
        </w:rPr>
        <w:t xml:space="preserve"> (интегрированные курсы, </w:t>
      </w:r>
      <w:proofErr w:type="spellStart"/>
      <w:r w:rsidRPr="00B955FC">
        <w:rPr>
          <w:rFonts w:ascii="Times New Roman" w:eastAsia="Times New Roman" w:hAnsi="Times New Roman" w:cs="Times New Roman"/>
          <w:sz w:val="20"/>
          <w:szCs w:val="20"/>
          <w:lang w:eastAsia="ru-RU" w:bidi="ru-RU"/>
        </w:rPr>
        <w:t>метапредметные</w:t>
      </w:r>
      <w:proofErr w:type="spellEnd"/>
      <w:r w:rsidRPr="00B955FC">
        <w:rPr>
          <w:rFonts w:ascii="Times New Roman" w:eastAsia="Times New Roman" w:hAnsi="Times New Roman" w:cs="Times New Roman"/>
          <w:sz w:val="20"/>
          <w:szCs w:val="20"/>
          <w:lang w:eastAsia="ru-RU" w:bidi="ru-RU"/>
        </w:rPr>
        <w:t xml:space="preserve"> кружки, факультативы, научные сообщества, в том числе направленные на реализацию проектной и исследовательской деятельности);</w:t>
      </w:r>
    </w:p>
    <w:p w:rsidR="00B955FC" w:rsidRPr="00B955FC" w:rsidRDefault="00B955FC" w:rsidP="00B955FC">
      <w:pPr>
        <w:widowControl w:val="0"/>
        <w:numPr>
          <w:ilvl w:val="0"/>
          <w:numId w:val="1"/>
        </w:numPr>
        <w:spacing w:after="0" w:line="252" w:lineRule="auto"/>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B955FC">
        <w:rPr>
          <w:rFonts w:ascii="Times New Roman" w:eastAsia="Times New Roman" w:hAnsi="Times New Roman" w:cs="Times New Roman"/>
          <w:sz w:val="20"/>
          <w:szCs w:val="20"/>
          <w:lang w:eastAsia="ru-RU" w:bidi="ru-RU"/>
        </w:rPr>
        <w:t>волонтёрство</w:t>
      </w:r>
      <w:proofErr w:type="spellEnd"/>
      <w:r w:rsidRPr="00B955FC">
        <w:rPr>
          <w:rFonts w:ascii="Times New Roman" w:eastAsia="Times New Roman" w:hAnsi="Times New Roman" w:cs="Times New Roman"/>
          <w:sz w:val="20"/>
          <w:szCs w:val="20"/>
          <w:lang w:eastAsia="ru-RU" w:bidi="ru-RU"/>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955FC" w:rsidRPr="00B955FC" w:rsidRDefault="00B955FC" w:rsidP="00B955FC">
      <w:pPr>
        <w:widowControl w:val="0"/>
        <w:numPr>
          <w:ilvl w:val="0"/>
          <w:numId w:val="1"/>
        </w:numPr>
        <w:spacing w:after="0" w:line="252" w:lineRule="auto"/>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B955FC" w:rsidRPr="00B955FC" w:rsidRDefault="00B955FC" w:rsidP="00B955FC">
      <w:pPr>
        <w:widowControl w:val="0"/>
        <w:numPr>
          <w:ilvl w:val="0"/>
          <w:numId w:val="1"/>
        </w:numPr>
        <w:spacing w:after="0" w:line="252" w:lineRule="auto"/>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B955FC" w:rsidRPr="00B955FC" w:rsidRDefault="00B955FC" w:rsidP="00B955FC">
      <w:pPr>
        <w:widowControl w:val="0"/>
        <w:numPr>
          <w:ilvl w:val="0"/>
          <w:numId w:val="1"/>
        </w:numPr>
        <w:spacing w:after="0" w:line="252" w:lineRule="auto"/>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B955FC" w:rsidRPr="00B955FC" w:rsidRDefault="00B955FC" w:rsidP="00B955FC">
      <w:pPr>
        <w:widowControl w:val="0"/>
        <w:numPr>
          <w:ilvl w:val="0"/>
          <w:numId w:val="1"/>
        </w:numPr>
        <w:spacing w:after="0" w:line="252" w:lineRule="auto"/>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B955FC">
        <w:rPr>
          <w:rFonts w:ascii="Times New Roman" w:eastAsia="Times New Roman" w:hAnsi="Times New Roman" w:cs="Times New Roman"/>
          <w:sz w:val="20"/>
          <w:szCs w:val="20"/>
          <w:lang w:eastAsia="ru-RU" w:bidi="ru-RU"/>
        </w:rPr>
        <w:t>тьюторов</w:t>
      </w:r>
      <w:proofErr w:type="spellEnd"/>
      <w:r w:rsidRPr="00B955FC">
        <w:rPr>
          <w:rFonts w:ascii="Times New Roman" w:eastAsia="Times New Roman" w:hAnsi="Times New Roman" w:cs="Times New Roman"/>
          <w:sz w:val="20"/>
          <w:szCs w:val="20"/>
          <w:lang w:eastAsia="ru-RU" w:bidi="ru-RU"/>
        </w:rPr>
        <w:t>, педагогов-психологов);</w:t>
      </w:r>
    </w:p>
    <w:p w:rsidR="00B955FC" w:rsidRPr="00B955FC" w:rsidRDefault="00B955FC" w:rsidP="00B955FC">
      <w:pPr>
        <w:widowControl w:val="0"/>
        <w:numPr>
          <w:ilvl w:val="0"/>
          <w:numId w:val="1"/>
        </w:numPr>
        <w:spacing w:after="0" w:line="252" w:lineRule="auto"/>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B955FC" w:rsidRPr="00B955FC" w:rsidRDefault="00B955FC" w:rsidP="00B955FC">
      <w:pPr>
        <w:widowControl w:val="0"/>
        <w:spacing w:after="0" w:line="252" w:lineRule="auto"/>
        <w:ind w:firstLine="240"/>
        <w:jc w:val="both"/>
        <w:rPr>
          <w:rFonts w:ascii="Times New Roman" w:eastAsia="Times New Roman" w:hAnsi="Times New Roman" w:cs="Times New Roman"/>
          <w:b/>
          <w:sz w:val="20"/>
          <w:szCs w:val="20"/>
          <w:lang w:eastAsia="ru-RU" w:bidi="ru-RU"/>
        </w:rPr>
      </w:pPr>
      <w:r w:rsidRPr="00B955FC">
        <w:rPr>
          <w:rFonts w:ascii="Times New Roman" w:eastAsia="Times New Roman" w:hAnsi="Times New Roman" w:cs="Times New Roman"/>
          <w:b/>
          <w:sz w:val="20"/>
          <w:szCs w:val="20"/>
          <w:lang w:eastAsia="ru-RU" w:bidi="ru-RU"/>
        </w:rPr>
        <w:t>Содержание плана внеурочной деятельности.</w:t>
      </w:r>
    </w:p>
    <w:p w:rsidR="00B955FC" w:rsidRPr="00B955FC" w:rsidRDefault="00B955FC" w:rsidP="00B955FC">
      <w:pPr>
        <w:widowControl w:val="0"/>
        <w:spacing w:after="0" w:line="252" w:lineRule="auto"/>
        <w:ind w:firstLine="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 xml:space="preserve">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B955FC" w:rsidRPr="00B955FC" w:rsidRDefault="00B955FC" w:rsidP="00B955FC">
      <w:pPr>
        <w:widowControl w:val="0"/>
        <w:spacing w:after="0" w:line="252" w:lineRule="auto"/>
        <w:ind w:firstLine="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B955FC" w:rsidRPr="00B955FC" w:rsidRDefault="00B955FC" w:rsidP="00B955FC">
      <w:pPr>
        <w:widowControl w:val="0"/>
        <w:spacing w:after="0" w:line="252" w:lineRule="auto"/>
        <w:ind w:firstLine="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lastRenderedPageBreak/>
        <w:t>При этом расходы времени на отдельные направления плана внеурочной деятельности могут отличаться:</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—на внеурочную деятельность по формированию функциональной грамотности — от 1 до 2 часов;</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B955FC" w:rsidRPr="00B955FC" w:rsidRDefault="00B955FC" w:rsidP="00B955FC">
      <w:pPr>
        <w:widowControl w:val="0"/>
        <w:spacing w:after="0" w:line="252" w:lineRule="auto"/>
        <w:ind w:firstLine="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Общий объем внеурочной деятельности не должен превышать 10 часов в неделю.</w:t>
      </w:r>
    </w:p>
    <w:p w:rsidR="00B955FC" w:rsidRPr="00B955FC" w:rsidRDefault="00B955FC" w:rsidP="00B955FC">
      <w:pPr>
        <w:widowControl w:val="0"/>
        <w:spacing w:after="0" w:line="252" w:lineRule="auto"/>
        <w:ind w:firstLine="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B955FC" w:rsidRPr="00B955FC" w:rsidRDefault="00B955FC" w:rsidP="00B955FC">
      <w:pPr>
        <w:widowControl w:val="0"/>
        <w:spacing w:after="0" w:line="252" w:lineRule="auto"/>
        <w:ind w:firstLine="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B955FC">
        <w:rPr>
          <w:rFonts w:ascii="Times New Roman" w:eastAsia="Times New Roman" w:hAnsi="Times New Roman" w:cs="Times New Roman"/>
          <w:sz w:val="20"/>
          <w:szCs w:val="20"/>
          <w:lang w:eastAsia="ru-RU" w:bidi="ru-RU"/>
        </w:rPr>
        <w:t xml:space="preserve">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B955FC">
        <w:rPr>
          <w:rFonts w:ascii="Times New Roman" w:eastAsia="Times New Roman" w:hAnsi="Times New Roman" w:cs="Times New Roman"/>
          <w:sz w:val="20"/>
          <w:szCs w:val="20"/>
          <w:lang w:eastAsia="ru-RU" w:bidi="ru-RU"/>
        </w:rPr>
        <w:t>предпрофильной</w:t>
      </w:r>
      <w:proofErr w:type="spellEnd"/>
      <w:r w:rsidRPr="00B955FC">
        <w:rPr>
          <w:rFonts w:ascii="Times New Roman" w:eastAsia="Times New Roman" w:hAnsi="Times New Roman" w:cs="Times New Roman"/>
          <w:sz w:val="20"/>
          <w:szCs w:val="20"/>
          <w:lang w:eastAsia="ru-RU" w:bidi="ru-RU"/>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B955FC" w:rsidRPr="00B955FC" w:rsidRDefault="00B955FC" w:rsidP="00B955FC">
      <w:pPr>
        <w:widowControl w:val="0"/>
        <w:spacing w:after="0" w:line="252" w:lineRule="auto"/>
        <w:ind w:firstLine="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—модель плана с преобладанием деятельности ученических сообществ и воспитательных мероприятий.</w:t>
      </w:r>
    </w:p>
    <w:p w:rsidR="00B955FC" w:rsidRPr="00B955FC" w:rsidRDefault="00B955FC" w:rsidP="00B955FC">
      <w:pPr>
        <w:widowControl w:val="0"/>
        <w:spacing w:after="0" w:line="252" w:lineRule="auto"/>
        <w:ind w:firstLine="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—компетенции в сфере общественной самоорганизации, участия в общественно значимой совместной деятельности.</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—Организация жизни ученических сообществ может происходить:</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B955FC" w:rsidRPr="00B955FC" w:rsidRDefault="00B955FC" w:rsidP="00B955FC">
      <w:pPr>
        <w:widowControl w:val="0"/>
        <w:spacing w:after="0" w:line="252" w:lineRule="auto"/>
        <w:ind w:left="240" w:hanging="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955FC" w:rsidRPr="00B955FC" w:rsidRDefault="00B955FC" w:rsidP="00B955FC">
      <w:pPr>
        <w:widowControl w:val="0"/>
        <w:spacing w:after="0" w:line="252" w:lineRule="auto"/>
        <w:ind w:firstLine="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Формы реализации внеурочной деятельности образовательная организация определяет самостоятельно.</w:t>
      </w:r>
    </w:p>
    <w:p w:rsidR="00B955FC" w:rsidRPr="00B955FC" w:rsidRDefault="00B955FC" w:rsidP="00B955FC">
      <w:pPr>
        <w:widowControl w:val="0"/>
        <w:spacing w:after="0" w:line="252" w:lineRule="auto"/>
        <w:ind w:firstLine="240"/>
        <w:jc w:val="both"/>
        <w:rPr>
          <w:rFonts w:ascii="Times New Roman" w:eastAsia="Times New Roman" w:hAnsi="Times New Roman" w:cs="Times New Roman"/>
          <w:sz w:val="20"/>
          <w:szCs w:val="20"/>
          <w:lang w:eastAsia="ru-RU" w:bidi="ru-RU"/>
        </w:rPr>
      </w:pPr>
      <w:r w:rsidRPr="00B955FC">
        <w:rPr>
          <w:rFonts w:ascii="Times New Roman" w:eastAsia="Times New Roman" w:hAnsi="Times New Roman" w:cs="Times New Roman"/>
          <w:sz w:val="20"/>
          <w:szCs w:val="20"/>
          <w:lang w:eastAsia="ru-RU" w:bidi="ru-RU"/>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B955FC" w:rsidRPr="00B955FC" w:rsidRDefault="00B955FC" w:rsidP="00B955FC">
      <w:pPr>
        <w:widowControl w:val="0"/>
        <w:spacing w:after="0" w:line="240" w:lineRule="auto"/>
        <w:jc w:val="both"/>
        <w:rPr>
          <w:rFonts w:ascii="Times New Roman" w:eastAsia="Times New Roman" w:hAnsi="Times New Roman" w:cs="Times New Roman"/>
          <w:sz w:val="20"/>
          <w:szCs w:val="20"/>
          <w:lang w:eastAsia="ru-RU"/>
        </w:rPr>
      </w:pPr>
      <w:r w:rsidRPr="00B955FC">
        <w:rPr>
          <w:rFonts w:ascii="Times New Roman" w:eastAsia="Times New Roman" w:hAnsi="Times New Roman" w:cs="Times New Roman"/>
          <w:sz w:val="20"/>
          <w:szCs w:val="20"/>
          <w:lang w:eastAsia="ru-RU"/>
        </w:rPr>
        <w:t xml:space="preserve"> 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с преобладанием деятельности ученических сообществ и воспитательных мероприятий. </w:t>
      </w:r>
    </w:p>
    <w:p w:rsidR="00B955FC" w:rsidRPr="00B955FC" w:rsidRDefault="00B955FC" w:rsidP="00B955FC">
      <w:pPr>
        <w:spacing w:after="0" w:line="240" w:lineRule="auto"/>
        <w:jc w:val="both"/>
        <w:rPr>
          <w:rFonts w:ascii="Times New Roman" w:eastAsia="Times New Roman" w:hAnsi="Times New Roman" w:cs="Times New Roman"/>
          <w:sz w:val="20"/>
          <w:szCs w:val="20"/>
          <w:lang w:eastAsia="ru-RU"/>
        </w:rPr>
      </w:pPr>
      <w:r w:rsidRPr="00B955FC">
        <w:rPr>
          <w:rFonts w:ascii="Times New Roman" w:eastAsia="Times New Roman" w:hAnsi="Times New Roman" w:cs="Times New Roman"/>
          <w:sz w:val="20"/>
          <w:szCs w:val="20"/>
          <w:lang w:eastAsia="ru-RU"/>
        </w:rPr>
        <w:t xml:space="preserve">    </w:t>
      </w:r>
    </w:p>
    <w:tbl>
      <w:tblPr>
        <w:tblW w:w="7372" w:type="dxa"/>
        <w:tblInd w:w="-134" w:type="dxa"/>
        <w:tblCellMar>
          <w:left w:w="7" w:type="dxa"/>
          <w:right w:w="7" w:type="dxa"/>
        </w:tblCellMar>
        <w:tblLook w:val="04A0" w:firstRow="1" w:lastRow="0" w:firstColumn="1" w:lastColumn="0" w:noHBand="0" w:noVBand="1"/>
      </w:tblPr>
      <w:tblGrid>
        <w:gridCol w:w="3259"/>
        <w:gridCol w:w="4113"/>
      </w:tblGrid>
      <w:tr w:rsidR="00B955FC" w:rsidRPr="00B955FC" w:rsidTr="00B955FC">
        <w:tc>
          <w:tcPr>
            <w:tcW w:w="3259" w:type="dxa"/>
            <w:tcBorders>
              <w:top w:val="single" w:sz="6" w:space="0" w:color="000000"/>
              <w:left w:val="single" w:sz="6" w:space="0" w:color="000000"/>
              <w:bottom w:val="single" w:sz="6" w:space="0" w:color="000000"/>
              <w:right w:val="single" w:sz="6" w:space="0" w:color="000000"/>
            </w:tcBorders>
            <w:vAlign w:val="center"/>
            <w:hideMark/>
          </w:tcPr>
          <w:p w:rsidR="00B955FC" w:rsidRPr="00B955FC" w:rsidRDefault="00B955FC" w:rsidP="00B955FC">
            <w:pPr>
              <w:spacing w:after="105" w:line="240" w:lineRule="auto"/>
              <w:ind w:left="261" w:hanging="261"/>
              <w:jc w:val="center"/>
              <w:rPr>
                <w:rFonts w:ascii="Times New Roman" w:eastAsia="Times New Roman" w:hAnsi="Times New Roman" w:cs="Times New Roman"/>
                <w:sz w:val="20"/>
                <w:szCs w:val="20"/>
                <w:lang w:eastAsia="ru-RU"/>
              </w:rPr>
            </w:pPr>
            <w:r w:rsidRPr="00B955FC">
              <w:rPr>
                <w:rFonts w:ascii="Times New Roman" w:eastAsia="Times New Roman" w:hAnsi="Times New Roman" w:cs="Times New Roman"/>
                <w:sz w:val="20"/>
                <w:szCs w:val="20"/>
                <w:lang w:eastAsia="ru-RU"/>
              </w:rPr>
              <w:t xml:space="preserve">Модель плана внеурочной </w:t>
            </w:r>
            <w:r w:rsidRPr="00B955FC">
              <w:rPr>
                <w:rFonts w:ascii="Times New Roman" w:eastAsia="Times New Roman" w:hAnsi="Times New Roman" w:cs="Times New Roman"/>
                <w:sz w:val="20"/>
                <w:szCs w:val="20"/>
                <w:lang w:eastAsia="ru-RU"/>
              </w:rPr>
              <w:lastRenderedPageBreak/>
              <w:t xml:space="preserve">деятельности </w:t>
            </w:r>
          </w:p>
        </w:tc>
        <w:tc>
          <w:tcPr>
            <w:tcW w:w="4112" w:type="dxa"/>
            <w:tcBorders>
              <w:top w:val="single" w:sz="6" w:space="0" w:color="000000"/>
              <w:left w:val="single" w:sz="6" w:space="0" w:color="000000"/>
              <w:bottom w:val="single" w:sz="6" w:space="0" w:color="000000"/>
              <w:right w:val="single" w:sz="6" w:space="0" w:color="000000"/>
            </w:tcBorders>
            <w:hideMark/>
          </w:tcPr>
          <w:p w:rsidR="00B955FC" w:rsidRPr="00B955FC" w:rsidRDefault="00B955FC" w:rsidP="00B955FC">
            <w:pPr>
              <w:spacing w:after="105" w:line="240" w:lineRule="auto"/>
              <w:jc w:val="center"/>
              <w:rPr>
                <w:rFonts w:ascii="Times New Roman" w:eastAsia="Times New Roman" w:hAnsi="Times New Roman" w:cs="Times New Roman"/>
                <w:sz w:val="20"/>
                <w:szCs w:val="20"/>
                <w:lang w:eastAsia="ru-RU"/>
              </w:rPr>
            </w:pPr>
            <w:r w:rsidRPr="00B955FC">
              <w:rPr>
                <w:rFonts w:ascii="Times New Roman" w:eastAsia="Times New Roman" w:hAnsi="Times New Roman" w:cs="Times New Roman"/>
                <w:sz w:val="20"/>
                <w:szCs w:val="20"/>
                <w:lang w:eastAsia="ru-RU"/>
              </w:rPr>
              <w:lastRenderedPageBreak/>
              <w:t xml:space="preserve">Содержательное наполнение </w:t>
            </w:r>
          </w:p>
        </w:tc>
      </w:tr>
      <w:tr w:rsidR="00B955FC" w:rsidRPr="00B955FC" w:rsidTr="00B955FC">
        <w:tc>
          <w:tcPr>
            <w:tcW w:w="3259" w:type="dxa"/>
            <w:tcBorders>
              <w:top w:val="single" w:sz="6" w:space="0" w:color="000000"/>
              <w:left w:val="single" w:sz="6" w:space="0" w:color="000000"/>
              <w:bottom w:val="single" w:sz="6" w:space="0" w:color="000000"/>
              <w:right w:val="single" w:sz="6" w:space="0" w:color="000000"/>
            </w:tcBorders>
            <w:hideMark/>
          </w:tcPr>
          <w:p w:rsidR="00B955FC" w:rsidRPr="00B955FC" w:rsidRDefault="00B955FC" w:rsidP="00B955FC">
            <w:pPr>
              <w:spacing w:after="105" w:line="240" w:lineRule="auto"/>
              <w:rPr>
                <w:rFonts w:ascii="Times New Roman" w:eastAsia="Times New Roman" w:hAnsi="Times New Roman" w:cs="Times New Roman"/>
                <w:sz w:val="20"/>
                <w:szCs w:val="20"/>
                <w:lang w:eastAsia="ru-RU"/>
              </w:rPr>
            </w:pPr>
            <w:r w:rsidRPr="00B955FC">
              <w:rPr>
                <w:rFonts w:ascii="Times New Roman" w:eastAsia="Times New Roman" w:hAnsi="Times New Roman" w:cs="Times New Roman"/>
                <w:sz w:val="20"/>
                <w:szCs w:val="20"/>
                <w:lang w:eastAsia="ru-RU"/>
              </w:rPr>
              <w:lastRenderedPageBreak/>
              <w:t xml:space="preserve">Преобладание деятельности ученических сообществ и воспитательных мероприятий </w:t>
            </w:r>
          </w:p>
        </w:tc>
        <w:tc>
          <w:tcPr>
            <w:tcW w:w="4112" w:type="dxa"/>
            <w:tcBorders>
              <w:top w:val="single" w:sz="6" w:space="0" w:color="000000"/>
              <w:left w:val="single" w:sz="6" w:space="0" w:color="000000"/>
              <w:bottom w:val="single" w:sz="6" w:space="0" w:color="000000"/>
              <w:right w:val="single" w:sz="6" w:space="0" w:color="000000"/>
            </w:tcBorders>
            <w:hideMark/>
          </w:tcPr>
          <w:p w:rsidR="00B955FC" w:rsidRPr="00B955FC" w:rsidRDefault="00B955FC" w:rsidP="00B955FC">
            <w:pPr>
              <w:spacing w:after="0" w:line="240" w:lineRule="auto"/>
              <w:rPr>
                <w:rFonts w:ascii="Times New Roman" w:eastAsia="Times New Roman" w:hAnsi="Times New Roman" w:cs="Times New Roman"/>
                <w:sz w:val="20"/>
                <w:szCs w:val="20"/>
                <w:lang w:eastAsia="ru-RU"/>
              </w:rPr>
            </w:pPr>
            <w:r w:rsidRPr="00B955FC">
              <w:rPr>
                <w:rFonts w:ascii="Times New Roman" w:eastAsia="Times New Roman" w:hAnsi="Times New Roman" w:cs="Times New Roman"/>
                <w:sz w:val="20"/>
                <w:szCs w:val="20"/>
                <w:lang w:eastAsia="ru-RU"/>
              </w:rPr>
              <w:t xml:space="preserve">занятия обучающихся с педагогами, сопровождающими деятельность детских общественных объединений и органов ученического самоуправления; </w:t>
            </w:r>
          </w:p>
          <w:p w:rsidR="00B955FC" w:rsidRPr="00B955FC" w:rsidRDefault="00B955FC" w:rsidP="00B955FC">
            <w:pPr>
              <w:spacing w:after="0" w:line="240" w:lineRule="auto"/>
              <w:rPr>
                <w:rFonts w:ascii="Times New Roman" w:eastAsia="Times New Roman" w:hAnsi="Times New Roman" w:cs="Times New Roman"/>
                <w:sz w:val="20"/>
                <w:szCs w:val="20"/>
                <w:lang w:eastAsia="ru-RU"/>
              </w:rPr>
            </w:pPr>
            <w:r w:rsidRPr="00B955FC">
              <w:rPr>
                <w:rFonts w:ascii="Times New Roman" w:eastAsia="Times New Roman" w:hAnsi="Times New Roman" w:cs="Times New Roman"/>
                <w:sz w:val="20"/>
                <w:szCs w:val="20"/>
                <w:lang w:eastAsia="ru-RU"/>
              </w:rPr>
              <w:t xml:space="preserve">занятия обучающихся в рамках циклов специально организованных внеурочных занятий, посвященных актуальным социальным, нравственным проблемам современного мира; </w:t>
            </w:r>
          </w:p>
          <w:p w:rsidR="00B955FC" w:rsidRPr="00B955FC" w:rsidRDefault="00B955FC" w:rsidP="00B955FC">
            <w:pPr>
              <w:spacing w:after="105" w:line="240" w:lineRule="auto"/>
              <w:rPr>
                <w:rFonts w:ascii="Times New Roman" w:eastAsia="Times New Roman" w:hAnsi="Times New Roman" w:cs="Times New Roman"/>
                <w:sz w:val="20"/>
                <w:szCs w:val="20"/>
                <w:lang w:eastAsia="ru-RU"/>
              </w:rPr>
            </w:pPr>
            <w:proofErr w:type="gramStart"/>
            <w:r w:rsidRPr="00B955FC">
              <w:rPr>
                <w:rFonts w:ascii="Times New Roman" w:eastAsia="Times New Roman" w:hAnsi="Times New Roman" w:cs="Times New Roman"/>
                <w:sz w:val="20"/>
                <w:szCs w:val="20"/>
                <w:lang w:eastAsia="ru-RU"/>
              </w:rPr>
              <w:t xml:space="preserve">занятия обучающихся в социально ориентированных объединениях: экологических, волонтерских, трудовых и т.п. </w:t>
            </w:r>
            <w:proofErr w:type="gramEnd"/>
          </w:p>
        </w:tc>
      </w:tr>
    </w:tbl>
    <w:p w:rsidR="00B955FC" w:rsidRPr="00B955FC" w:rsidRDefault="00B955FC" w:rsidP="00B955FC">
      <w:pPr>
        <w:spacing w:after="0" w:line="240" w:lineRule="auto"/>
        <w:jc w:val="center"/>
        <w:rPr>
          <w:rFonts w:ascii="Times New Roman" w:eastAsia="Calibri" w:hAnsi="Times New Roman" w:cs="Times New Roman"/>
          <w:b/>
          <w:sz w:val="20"/>
          <w:szCs w:val="20"/>
        </w:rPr>
      </w:pPr>
      <w:r w:rsidRPr="00B955FC">
        <w:rPr>
          <w:rFonts w:ascii="Times New Roman" w:eastAsia="Calibri" w:hAnsi="Times New Roman" w:cs="Times New Roman"/>
          <w:b/>
          <w:sz w:val="20"/>
          <w:szCs w:val="20"/>
        </w:rPr>
        <w:t>Цель и идеи внеурочной деятельности</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b/>
          <w:bCs/>
          <w:sz w:val="20"/>
          <w:szCs w:val="20"/>
        </w:rPr>
        <w:t xml:space="preserve">Цель внеурочной деятельности </w:t>
      </w:r>
      <w:r w:rsidRPr="00B955FC">
        <w:rPr>
          <w:rFonts w:ascii="Times New Roman" w:eastAsia="Calibri" w:hAnsi="Times New Roman" w:cs="Times New Roman"/>
          <w:sz w:val="20"/>
          <w:szCs w:val="20"/>
        </w:rPr>
        <w:t>- создание условий, обеспечивающих</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xml:space="preserve">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w:t>
      </w:r>
      <w:proofErr w:type="gramStart"/>
      <w:r w:rsidRPr="00B955FC">
        <w:rPr>
          <w:rFonts w:ascii="Times New Roman" w:eastAsia="Calibri" w:hAnsi="Times New Roman" w:cs="Times New Roman"/>
          <w:sz w:val="20"/>
          <w:szCs w:val="20"/>
        </w:rPr>
        <w:t>с</w:t>
      </w:r>
      <w:proofErr w:type="gramEnd"/>
      <w:r w:rsidRPr="00B955FC">
        <w:rPr>
          <w:rFonts w:ascii="Times New Roman" w:eastAsia="Calibri" w:hAnsi="Times New Roman" w:cs="Times New Roman"/>
          <w:sz w:val="20"/>
          <w:szCs w:val="20"/>
        </w:rPr>
        <w:t xml:space="preserve"> сформированной гражданской ответственностью и правовым самосознанием, способной на социально значимую практическую деятельность.</w:t>
      </w:r>
    </w:p>
    <w:p w:rsidR="00B955FC" w:rsidRPr="00B955FC" w:rsidRDefault="00B955FC" w:rsidP="00B955FC">
      <w:pPr>
        <w:spacing w:after="0" w:line="240" w:lineRule="auto"/>
        <w:rPr>
          <w:rFonts w:ascii="Times New Roman" w:eastAsia="Calibri" w:hAnsi="Times New Roman" w:cs="Times New Roman"/>
          <w:b/>
          <w:bCs/>
          <w:i/>
          <w:iCs/>
          <w:sz w:val="20"/>
          <w:szCs w:val="20"/>
        </w:rPr>
      </w:pPr>
      <w:r w:rsidRPr="00B955FC">
        <w:rPr>
          <w:rFonts w:ascii="Times New Roman" w:eastAsia="Calibri" w:hAnsi="Times New Roman" w:cs="Times New Roman"/>
          <w:b/>
          <w:bCs/>
          <w:sz w:val="20"/>
          <w:szCs w:val="20"/>
        </w:rPr>
        <w:t xml:space="preserve">Ведущими идеями плана внеурочной деятельности </w:t>
      </w:r>
    </w:p>
    <w:p w:rsidR="00B955FC" w:rsidRPr="00B955FC" w:rsidRDefault="00B955FC" w:rsidP="00B955FC">
      <w:pPr>
        <w:spacing w:after="0" w:line="240" w:lineRule="auto"/>
        <w:rPr>
          <w:rFonts w:ascii="Times New Roman" w:eastAsia="Calibri" w:hAnsi="Times New Roman" w:cs="Times New Roman"/>
          <w:b/>
          <w:bCs/>
          <w:sz w:val="20"/>
          <w:szCs w:val="20"/>
        </w:rPr>
      </w:pPr>
      <w:r w:rsidRPr="00B955FC">
        <w:rPr>
          <w:rFonts w:ascii="Times New Roman" w:eastAsia="Calibri" w:hAnsi="Times New Roman" w:cs="Times New Roman"/>
          <w:b/>
          <w:bCs/>
          <w:sz w:val="20"/>
          <w:szCs w:val="20"/>
        </w:rPr>
        <w:t>являются:</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xml:space="preserve">- создание условий для достижения </w:t>
      </w:r>
      <w:proofErr w:type="gramStart"/>
      <w:r w:rsidRPr="00B955FC">
        <w:rPr>
          <w:rFonts w:ascii="Times New Roman" w:eastAsia="Calibri" w:hAnsi="Times New Roman" w:cs="Times New Roman"/>
          <w:sz w:val="20"/>
          <w:szCs w:val="20"/>
        </w:rPr>
        <w:t>обучающимися</w:t>
      </w:r>
      <w:proofErr w:type="gramEnd"/>
      <w:r w:rsidRPr="00B955FC">
        <w:rPr>
          <w:rFonts w:ascii="Times New Roman" w:eastAsia="Calibri" w:hAnsi="Times New Roman" w:cs="Times New Roman"/>
          <w:sz w:val="20"/>
          <w:szCs w:val="20"/>
        </w:rPr>
        <w:t xml:space="preserve"> уровня образованности,</w:t>
      </w:r>
    </w:p>
    <w:p w:rsidR="00B955FC" w:rsidRPr="00B955FC" w:rsidRDefault="00B955FC" w:rsidP="00B955FC">
      <w:pPr>
        <w:spacing w:after="0" w:line="240" w:lineRule="auto"/>
        <w:rPr>
          <w:rFonts w:ascii="Times New Roman" w:eastAsia="Calibri" w:hAnsi="Times New Roman" w:cs="Times New Roman"/>
          <w:sz w:val="20"/>
          <w:szCs w:val="20"/>
        </w:rPr>
      </w:pPr>
      <w:proofErr w:type="gramStart"/>
      <w:r w:rsidRPr="00B955FC">
        <w:rPr>
          <w:rFonts w:ascii="Times New Roman" w:eastAsia="Calibri" w:hAnsi="Times New Roman" w:cs="Times New Roman"/>
          <w:sz w:val="20"/>
          <w:szCs w:val="20"/>
        </w:rPr>
        <w:t>соответствующего</w:t>
      </w:r>
      <w:proofErr w:type="gramEnd"/>
      <w:r w:rsidRPr="00B955FC">
        <w:rPr>
          <w:rFonts w:ascii="Times New Roman" w:eastAsia="Calibri" w:hAnsi="Times New Roman" w:cs="Times New Roman"/>
          <w:sz w:val="20"/>
          <w:szCs w:val="20"/>
        </w:rPr>
        <w:t xml:space="preserve"> их личностному потенциалу;</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ориентация на достижение учениками социальной зрелости;</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удовлетворение образовательных потребностей учащихся и их родителей.</w:t>
      </w:r>
    </w:p>
    <w:p w:rsidR="00B955FC" w:rsidRPr="00B955FC" w:rsidRDefault="00B955FC" w:rsidP="00B955FC">
      <w:pPr>
        <w:spacing w:after="0" w:line="240" w:lineRule="auto"/>
        <w:rPr>
          <w:rFonts w:ascii="Times New Roman" w:eastAsia="Calibri" w:hAnsi="Times New Roman" w:cs="Times New Roman"/>
          <w:b/>
          <w:bCs/>
          <w:sz w:val="20"/>
          <w:szCs w:val="20"/>
        </w:rPr>
      </w:pPr>
      <w:r w:rsidRPr="00B955FC">
        <w:rPr>
          <w:rFonts w:ascii="Times New Roman" w:eastAsia="Calibri" w:hAnsi="Times New Roman" w:cs="Times New Roman"/>
          <w:sz w:val="20"/>
          <w:szCs w:val="20"/>
        </w:rPr>
        <w:t xml:space="preserve">При этом решаются следующие </w:t>
      </w:r>
      <w:r w:rsidRPr="00B955FC">
        <w:rPr>
          <w:rFonts w:ascii="Times New Roman" w:eastAsia="Calibri" w:hAnsi="Times New Roman" w:cs="Times New Roman"/>
          <w:b/>
          <w:bCs/>
          <w:sz w:val="20"/>
          <w:szCs w:val="20"/>
        </w:rPr>
        <w:t>основные педагогические задачи:</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включение учащихся в разностороннюю деятельность;</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формирование навыков позитивного коммуникативного общения;</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развитие навыков организации и осуществления сотрудничества с педагогами,</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сверстниками, родителями, старшими детьми в решении общих проблем;</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воспитание трудолюбия, способности к преодолению трудностей,</w:t>
      </w:r>
      <w:r w:rsidRPr="00B955FC">
        <w:rPr>
          <w:rFonts w:ascii="Times New Roman" w:eastAsia="Calibri" w:hAnsi="Times New Roman" w:cs="Times New Roman"/>
          <w:sz w:val="20"/>
          <w:szCs w:val="20"/>
        </w:rPr>
        <w:t xml:space="preserve"> </w:t>
      </w:r>
      <w:r w:rsidRPr="00B955FC">
        <w:rPr>
          <w:rFonts w:ascii="Times New Roman" w:eastAsia="Calibri" w:hAnsi="Times New Roman" w:cs="Times New Roman"/>
          <w:sz w:val="20"/>
          <w:szCs w:val="20"/>
        </w:rPr>
        <w:t>целеустремленности и настойчивости в достижении результата;</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развитие позитивного отношения к базовым общественным ценностям</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(человек, семья, Отечество, природа, мир, знания, труд, культура);</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формирование стремления к здоровому образу жизни;</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xml:space="preserve">- подготовка учащихся к активной и полноценной жизнедеятельности </w:t>
      </w:r>
      <w:proofErr w:type="gramStart"/>
      <w:r w:rsidRPr="00B955FC">
        <w:rPr>
          <w:rFonts w:ascii="Times New Roman" w:eastAsia="Calibri" w:hAnsi="Times New Roman" w:cs="Times New Roman"/>
          <w:sz w:val="20"/>
          <w:szCs w:val="20"/>
        </w:rPr>
        <w:t>в</w:t>
      </w:r>
      <w:proofErr w:type="gramEnd"/>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xml:space="preserve">современном </w:t>
      </w:r>
      <w:proofErr w:type="gramStart"/>
      <w:r w:rsidRPr="00B955FC">
        <w:rPr>
          <w:rFonts w:ascii="Times New Roman" w:eastAsia="Calibri" w:hAnsi="Times New Roman" w:cs="Times New Roman"/>
          <w:sz w:val="20"/>
          <w:szCs w:val="20"/>
        </w:rPr>
        <w:t>мире</w:t>
      </w:r>
      <w:proofErr w:type="gramEnd"/>
      <w:r w:rsidRPr="00B955FC">
        <w:rPr>
          <w:rFonts w:ascii="Times New Roman" w:eastAsia="Calibri" w:hAnsi="Times New Roman" w:cs="Times New Roman"/>
          <w:sz w:val="20"/>
          <w:szCs w:val="20"/>
        </w:rPr>
        <w:t>.</w:t>
      </w:r>
    </w:p>
    <w:p w:rsidR="00B955FC" w:rsidRPr="00B955FC" w:rsidRDefault="00B955FC" w:rsidP="00B955FC">
      <w:pPr>
        <w:spacing w:after="0" w:line="240" w:lineRule="auto"/>
        <w:jc w:val="center"/>
        <w:rPr>
          <w:rFonts w:ascii="Times New Roman" w:eastAsia="Calibri" w:hAnsi="Times New Roman" w:cs="Times New Roman"/>
          <w:b/>
          <w:sz w:val="20"/>
          <w:szCs w:val="20"/>
        </w:rPr>
      </w:pPr>
      <w:r w:rsidRPr="00B955FC">
        <w:rPr>
          <w:rFonts w:ascii="Times New Roman" w:eastAsia="Calibri" w:hAnsi="Times New Roman" w:cs="Times New Roman"/>
          <w:b/>
          <w:sz w:val="20"/>
          <w:szCs w:val="20"/>
        </w:rPr>
        <w:t>Ожидаемые результаты</w:t>
      </w:r>
    </w:p>
    <w:p w:rsidR="00B955FC" w:rsidRPr="00B955FC" w:rsidRDefault="00B955FC" w:rsidP="00B955FC">
      <w:pPr>
        <w:spacing w:after="0" w:line="240" w:lineRule="auto"/>
        <w:rPr>
          <w:rFonts w:ascii="Times New Roman" w:eastAsia="Calibri" w:hAnsi="Times New Roman" w:cs="Times New Roman"/>
          <w:b/>
          <w:bCs/>
          <w:sz w:val="20"/>
          <w:szCs w:val="20"/>
        </w:rPr>
      </w:pPr>
      <w:r w:rsidRPr="00B955FC">
        <w:rPr>
          <w:rFonts w:ascii="Times New Roman" w:eastAsia="Calibri" w:hAnsi="Times New Roman" w:cs="Times New Roman"/>
          <w:b/>
          <w:bCs/>
          <w:sz w:val="20"/>
          <w:szCs w:val="20"/>
        </w:rPr>
        <w:t>Личностные:</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готовность и способность к саморазвитию;</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xml:space="preserve">- </w:t>
      </w:r>
      <w:proofErr w:type="spellStart"/>
      <w:r w:rsidRPr="00B955FC">
        <w:rPr>
          <w:rFonts w:ascii="Times New Roman" w:eastAsia="Calibri" w:hAnsi="Times New Roman" w:cs="Times New Roman"/>
          <w:sz w:val="20"/>
          <w:szCs w:val="20"/>
        </w:rPr>
        <w:t>сформированность</w:t>
      </w:r>
      <w:proofErr w:type="spellEnd"/>
      <w:r w:rsidRPr="00B955FC">
        <w:rPr>
          <w:rFonts w:ascii="Times New Roman" w:eastAsia="Calibri" w:hAnsi="Times New Roman" w:cs="Times New Roman"/>
          <w:sz w:val="20"/>
          <w:szCs w:val="20"/>
        </w:rPr>
        <w:t xml:space="preserve"> мотивации к познанию, ценностно-смысловые установки,</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отражающие индивидуально-личностные позиции, социальные компетенции</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личностных качеств;</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xml:space="preserve">- </w:t>
      </w:r>
      <w:proofErr w:type="spellStart"/>
      <w:r w:rsidRPr="00B955FC">
        <w:rPr>
          <w:rFonts w:ascii="Times New Roman" w:eastAsia="Calibri" w:hAnsi="Times New Roman" w:cs="Times New Roman"/>
          <w:sz w:val="20"/>
          <w:szCs w:val="20"/>
        </w:rPr>
        <w:t>сформированность</w:t>
      </w:r>
      <w:proofErr w:type="spellEnd"/>
      <w:r w:rsidRPr="00B955FC">
        <w:rPr>
          <w:rFonts w:ascii="Times New Roman" w:eastAsia="Calibri" w:hAnsi="Times New Roman" w:cs="Times New Roman"/>
          <w:sz w:val="20"/>
          <w:szCs w:val="20"/>
        </w:rPr>
        <w:t xml:space="preserve"> основ гражданской идентичности.</w:t>
      </w:r>
    </w:p>
    <w:p w:rsidR="00B955FC" w:rsidRPr="00B955FC" w:rsidRDefault="00B955FC" w:rsidP="00B955FC">
      <w:pPr>
        <w:spacing w:after="0" w:line="240" w:lineRule="auto"/>
        <w:rPr>
          <w:rFonts w:ascii="Times New Roman" w:eastAsia="Calibri" w:hAnsi="Times New Roman" w:cs="Times New Roman"/>
          <w:b/>
          <w:bCs/>
          <w:sz w:val="20"/>
          <w:szCs w:val="20"/>
        </w:rPr>
      </w:pPr>
      <w:r w:rsidRPr="00B955FC">
        <w:rPr>
          <w:rFonts w:ascii="Times New Roman" w:eastAsia="Calibri" w:hAnsi="Times New Roman" w:cs="Times New Roman"/>
          <w:b/>
          <w:bCs/>
          <w:sz w:val="20"/>
          <w:szCs w:val="20"/>
        </w:rPr>
        <w:t>Предметные:</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получение нового знания и опыта его применения.</w:t>
      </w:r>
    </w:p>
    <w:p w:rsidR="00B955FC" w:rsidRPr="00B955FC" w:rsidRDefault="00B955FC" w:rsidP="00B955FC">
      <w:pPr>
        <w:spacing w:after="0" w:line="240" w:lineRule="auto"/>
        <w:rPr>
          <w:rFonts w:ascii="Times New Roman" w:eastAsia="Calibri" w:hAnsi="Times New Roman" w:cs="Times New Roman"/>
          <w:b/>
          <w:bCs/>
          <w:sz w:val="20"/>
          <w:szCs w:val="20"/>
        </w:rPr>
      </w:pPr>
      <w:proofErr w:type="spellStart"/>
      <w:r w:rsidRPr="00B955FC">
        <w:rPr>
          <w:rFonts w:ascii="Times New Roman" w:eastAsia="Calibri" w:hAnsi="Times New Roman" w:cs="Times New Roman"/>
          <w:b/>
          <w:bCs/>
          <w:sz w:val="20"/>
          <w:szCs w:val="20"/>
        </w:rPr>
        <w:t>Метапредметные</w:t>
      </w:r>
      <w:proofErr w:type="spellEnd"/>
      <w:r w:rsidRPr="00B955FC">
        <w:rPr>
          <w:rFonts w:ascii="Times New Roman" w:eastAsia="Calibri" w:hAnsi="Times New Roman" w:cs="Times New Roman"/>
          <w:b/>
          <w:bCs/>
          <w:sz w:val="20"/>
          <w:szCs w:val="20"/>
        </w:rPr>
        <w:t>:</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освоение универсальных учебных действий;</w:t>
      </w:r>
    </w:p>
    <w:p w:rsidR="00B955FC" w:rsidRPr="00B955FC" w:rsidRDefault="00B955FC" w:rsidP="00B955FC">
      <w:pPr>
        <w:spacing w:after="0" w:line="240" w:lineRule="auto"/>
        <w:rPr>
          <w:rFonts w:ascii="Times New Roman" w:eastAsia="Calibri" w:hAnsi="Times New Roman" w:cs="Times New Roman"/>
          <w:sz w:val="20"/>
          <w:szCs w:val="20"/>
        </w:rPr>
      </w:pPr>
      <w:r w:rsidRPr="00B955FC">
        <w:rPr>
          <w:rFonts w:ascii="Times New Roman" w:eastAsia="Calibri" w:hAnsi="Times New Roman" w:cs="Times New Roman"/>
          <w:sz w:val="20"/>
          <w:szCs w:val="20"/>
        </w:rPr>
        <w:t>- овладение ключевыми компетенциями.</w:t>
      </w:r>
    </w:p>
    <w:p w:rsidR="00B955FC" w:rsidRDefault="00B955FC" w:rsidP="00B955FC">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sidRPr="00B955FC">
        <w:rPr>
          <w:rFonts w:ascii="Times New Roman" w:eastAsia="Calibri" w:hAnsi="Times New Roman" w:cs="Times New Roman"/>
          <w:b/>
          <w:sz w:val="20"/>
          <w:szCs w:val="20"/>
        </w:rPr>
        <w:t>Недельный план внеурочной деятельности</w:t>
      </w:r>
    </w:p>
    <w:p w:rsidR="00B955FC" w:rsidRPr="00B955FC" w:rsidRDefault="00B955FC" w:rsidP="00B955FC">
      <w:pPr>
        <w:spacing w:after="0" w:line="240" w:lineRule="auto"/>
        <w:rPr>
          <w:rFonts w:ascii="Times New Roman" w:eastAsia="Calibri" w:hAnsi="Times New Roman" w:cs="Times New Roman"/>
          <w:sz w:val="20"/>
          <w:szCs w:val="20"/>
        </w:rPr>
      </w:pPr>
    </w:p>
    <w:tbl>
      <w:tblPr>
        <w:tblpPr w:leftFromText="180" w:rightFromText="180" w:vertAnchor="text" w:horzAnchor="margin" w:tblpXSpec="center" w:tblpY="-51"/>
        <w:tblW w:w="10565" w:type="dxa"/>
        <w:tblLook w:val="04A0" w:firstRow="1" w:lastRow="0" w:firstColumn="1" w:lastColumn="0" w:noHBand="0" w:noVBand="1"/>
      </w:tblPr>
      <w:tblGrid>
        <w:gridCol w:w="415"/>
        <w:gridCol w:w="3261"/>
        <w:gridCol w:w="2497"/>
        <w:gridCol w:w="876"/>
        <w:gridCol w:w="877"/>
        <w:gridCol w:w="878"/>
        <w:gridCol w:w="878"/>
        <w:gridCol w:w="883"/>
      </w:tblGrid>
      <w:tr w:rsidR="00B955FC" w:rsidRPr="00B955FC" w:rsidTr="00B955FC">
        <w:trPr>
          <w:trHeight w:val="704"/>
        </w:trPr>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p w:rsidR="00B955FC" w:rsidRPr="00B955FC" w:rsidRDefault="00B955FC" w:rsidP="00B955FC">
            <w:pPr>
              <w:spacing w:after="0" w:line="240" w:lineRule="auto"/>
            </w:pPr>
            <w:r w:rsidRPr="00B955FC">
              <w:rPr>
                <w:rFonts w:eastAsia="Calibri"/>
                <w:b/>
                <w:sz w:val="20"/>
                <w:szCs w:val="20"/>
              </w:rPr>
              <w:t>Направления развития личности</w:t>
            </w:r>
          </w:p>
        </w:tc>
        <w:tc>
          <w:tcPr>
            <w:tcW w:w="24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 xml:space="preserve">Наименование </w:t>
            </w:r>
          </w:p>
        </w:tc>
        <w:tc>
          <w:tcPr>
            <w:tcW w:w="4392" w:type="dxa"/>
            <w:gridSpan w:val="5"/>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 xml:space="preserve">               Классы</w:t>
            </w:r>
          </w:p>
        </w:tc>
      </w:tr>
      <w:tr w:rsidR="00B955FC" w:rsidRPr="00B955FC" w:rsidTr="00B955FC">
        <w:trPr>
          <w:trHeight w:val="544"/>
        </w:trPr>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 xml:space="preserve">5 </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6</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7</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8</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9</w:t>
            </w:r>
          </w:p>
        </w:tc>
      </w:tr>
      <w:tr w:rsidR="00B955FC" w:rsidRPr="00B955FC" w:rsidTr="00B955FC">
        <w:trPr>
          <w:trHeight w:val="1218"/>
        </w:trPr>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lastRenderedPageBreak/>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ascii="Times New Roman" w:hAnsi="Times New Roman"/>
                <w:b/>
                <w:sz w:val="20"/>
                <w:szCs w:val="20"/>
              </w:rPr>
              <w:t>Спортивно-оздоровительное направление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 xml:space="preserve">Реализуется  в рамках </w:t>
            </w:r>
            <w:proofErr w:type="gramStart"/>
            <w:r w:rsidRPr="00B955FC">
              <w:rPr>
                <w:rFonts w:eastAsia="Calibri"/>
                <w:b/>
                <w:sz w:val="20"/>
                <w:szCs w:val="20"/>
              </w:rPr>
              <w:t>:р</w:t>
            </w:r>
            <w:proofErr w:type="gramEnd"/>
            <w:r w:rsidRPr="00B955FC">
              <w:rPr>
                <w:rFonts w:eastAsia="Calibri"/>
                <w:b/>
                <w:sz w:val="20"/>
                <w:szCs w:val="20"/>
              </w:rPr>
              <w:t>аботы спортивного клуба «Витязь»   спортивных мероприятий.</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r>
      <w:tr w:rsidR="00B955FC" w:rsidRPr="00B955FC" w:rsidTr="00B955FC">
        <w:trPr>
          <w:trHeight w:val="1256"/>
        </w:trPr>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ascii="Times New Roman" w:hAnsi="Times New Roman"/>
                <w:b/>
                <w:sz w:val="20"/>
                <w:szCs w:val="20"/>
              </w:rPr>
              <w:t>Духовно-нравственное направление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 xml:space="preserve">Разговоры о </w:t>
            </w:r>
            <w:proofErr w:type="gramStart"/>
            <w:r w:rsidRPr="00B955FC">
              <w:rPr>
                <w:rFonts w:eastAsia="Calibri"/>
                <w:b/>
                <w:sz w:val="20"/>
                <w:szCs w:val="20"/>
              </w:rPr>
              <w:t>важном</w:t>
            </w:r>
            <w:proofErr w:type="gramEnd"/>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1,0</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r w:rsidRPr="00B955FC">
              <w:rPr>
                <w:rFonts w:eastAsia="Calibri"/>
                <w:b/>
                <w:sz w:val="20"/>
                <w:szCs w:val="20"/>
              </w:rPr>
              <w:t>1,0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r w:rsidRPr="00B955FC">
              <w:rPr>
                <w:rFonts w:eastAsia="Calibri"/>
                <w:b/>
                <w:sz w:val="20"/>
                <w:szCs w:val="20"/>
              </w:rPr>
              <w:t>1,0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r w:rsidRPr="00B955FC">
              <w:rPr>
                <w:rFonts w:eastAsia="Calibri"/>
                <w:b/>
                <w:sz w:val="20"/>
                <w:szCs w:val="20"/>
              </w:rPr>
              <w:t>1,0</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r w:rsidRPr="00B955FC">
              <w:rPr>
                <w:rFonts w:eastAsia="Calibri"/>
                <w:b/>
                <w:sz w:val="20"/>
                <w:szCs w:val="20"/>
              </w:rPr>
              <w:t>1,0</w:t>
            </w:r>
          </w:p>
        </w:tc>
      </w:tr>
      <w:tr w:rsidR="00B955FC" w:rsidRPr="00B955FC" w:rsidTr="00B955FC">
        <w:trPr>
          <w:trHeight w:val="1218"/>
        </w:trPr>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ascii="Times New Roman" w:hAnsi="Times New Roman"/>
                <w:b/>
                <w:sz w:val="20"/>
                <w:szCs w:val="20"/>
              </w:rPr>
              <w:t>Социальное  направление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 xml:space="preserve"> Брянская область.</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0,5</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r w:rsidRPr="00B955FC">
              <w:rPr>
                <w:rFonts w:eastAsia="Calibri"/>
                <w:b/>
                <w:sz w:val="20"/>
                <w:szCs w:val="20"/>
              </w:rPr>
              <w:t>0,5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r w:rsidRPr="00B955FC">
              <w:rPr>
                <w:rFonts w:eastAsia="Calibri"/>
                <w:b/>
                <w:sz w:val="20"/>
                <w:szCs w:val="20"/>
              </w:rPr>
              <w:t>1,0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r w:rsidRPr="00B955FC">
              <w:rPr>
                <w:rFonts w:eastAsia="Calibri"/>
                <w:b/>
                <w:sz w:val="20"/>
                <w:szCs w:val="20"/>
              </w:rPr>
              <w:t>0,5</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r w:rsidRPr="00B955FC">
              <w:rPr>
                <w:rFonts w:eastAsia="Calibri"/>
                <w:b/>
                <w:sz w:val="20"/>
                <w:szCs w:val="20"/>
              </w:rPr>
              <w:t>0,5</w:t>
            </w:r>
          </w:p>
        </w:tc>
      </w:tr>
      <w:tr w:rsidR="00B955FC" w:rsidRPr="00B955FC" w:rsidTr="00B955FC">
        <w:trPr>
          <w:trHeight w:val="1142"/>
        </w:trPr>
        <w:tc>
          <w:tcPr>
            <w:tcW w:w="4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4</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proofErr w:type="spellStart"/>
            <w:r w:rsidRPr="00B955FC">
              <w:rPr>
                <w:rFonts w:ascii="Times New Roman" w:hAnsi="Times New Roman"/>
                <w:b/>
                <w:sz w:val="20"/>
                <w:szCs w:val="20"/>
              </w:rPr>
              <w:t>Общеинтеллектуальное</w:t>
            </w:r>
            <w:proofErr w:type="spellEnd"/>
            <w:r w:rsidRPr="00B955FC">
              <w:rPr>
                <w:rFonts w:ascii="Times New Roman" w:hAnsi="Times New Roman"/>
                <w:b/>
                <w:sz w:val="20"/>
                <w:szCs w:val="20"/>
              </w:rPr>
              <w:t xml:space="preserve"> направление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B955FC" w:rsidRDefault="00B955FC" w:rsidP="00B955FC">
            <w:pPr>
              <w:spacing w:after="0" w:line="240" w:lineRule="auto"/>
              <w:rPr>
                <w:rFonts w:eastAsia="Calibri"/>
                <w:b/>
                <w:sz w:val="20"/>
                <w:szCs w:val="20"/>
              </w:rPr>
            </w:pPr>
            <w:r w:rsidRPr="00B955FC">
              <w:rPr>
                <w:rFonts w:eastAsia="Calibri"/>
                <w:b/>
                <w:sz w:val="20"/>
                <w:szCs w:val="20"/>
              </w:rPr>
              <w:t xml:space="preserve">Основы </w:t>
            </w:r>
            <w:r>
              <w:rPr>
                <w:rFonts w:eastAsia="Calibri"/>
                <w:b/>
                <w:sz w:val="20"/>
                <w:szCs w:val="20"/>
              </w:rPr>
              <w:t>функциональной</w:t>
            </w:r>
          </w:p>
          <w:p w:rsidR="00B955FC" w:rsidRPr="00B955FC" w:rsidRDefault="00B955FC" w:rsidP="00B955FC">
            <w:pPr>
              <w:spacing w:after="0" w:line="240" w:lineRule="auto"/>
            </w:pPr>
            <w:r w:rsidRPr="00B955FC">
              <w:rPr>
                <w:rFonts w:eastAsia="Calibri"/>
                <w:b/>
                <w:sz w:val="20"/>
                <w:szCs w:val="20"/>
              </w:rPr>
              <w:t xml:space="preserve">грамотности.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r w:rsidRPr="00B955FC">
              <w:rPr>
                <w:rFonts w:eastAsia="Calibri"/>
                <w:b/>
                <w:sz w:val="20"/>
                <w:szCs w:val="20"/>
              </w:rPr>
              <w:t>0.5</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0,5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r w:rsidRPr="00B955FC">
              <w:rPr>
                <w:rFonts w:eastAsia="Calibri"/>
                <w:b/>
                <w:sz w:val="20"/>
                <w:szCs w:val="20"/>
              </w:rPr>
              <w:t>0,5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r w:rsidRPr="00B955FC">
              <w:rPr>
                <w:rFonts w:eastAsia="Calibri"/>
                <w:b/>
                <w:sz w:val="20"/>
                <w:szCs w:val="20"/>
              </w:rPr>
              <w:t>0,5</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r w:rsidRPr="00B955FC">
              <w:rPr>
                <w:rFonts w:eastAsia="Calibri"/>
                <w:b/>
                <w:sz w:val="20"/>
                <w:szCs w:val="20"/>
              </w:rPr>
              <w:t>0,5</w:t>
            </w:r>
          </w:p>
        </w:tc>
      </w:tr>
      <w:tr w:rsidR="00B955FC" w:rsidRPr="00B955FC" w:rsidTr="00B955FC">
        <w:trPr>
          <w:trHeight w:val="1142"/>
        </w:trPr>
        <w:tc>
          <w:tcPr>
            <w:tcW w:w="415" w:type="dxa"/>
            <w:vMerge/>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p>
        </w:tc>
        <w:tc>
          <w:tcPr>
            <w:tcW w:w="2497" w:type="dxa"/>
            <w:tcBorders>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b/>
                <w:bCs/>
                <w:sz w:val="20"/>
                <w:szCs w:val="20"/>
              </w:rPr>
            </w:pPr>
            <w:proofErr w:type="spellStart"/>
            <w:r>
              <w:rPr>
                <w:b/>
                <w:bCs/>
                <w:sz w:val="20"/>
                <w:szCs w:val="20"/>
              </w:rPr>
              <w:t>Профориетационные</w:t>
            </w:r>
            <w:proofErr w:type="spellEnd"/>
            <w:r>
              <w:rPr>
                <w:b/>
                <w:bCs/>
                <w:sz w:val="20"/>
                <w:szCs w:val="20"/>
              </w:rPr>
              <w:t xml:space="preserve"> мероприятия программы воспитания, « Билет в </w:t>
            </w:r>
            <w:proofErr w:type="spellStart"/>
            <w:r>
              <w:rPr>
                <w:b/>
                <w:bCs/>
                <w:sz w:val="20"/>
                <w:szCs w:val="20"/>
              </w:rPr>
              <w:t>будушее</w:t>
            </w:r>
            <w:proofErr w:type="spellEnd"/>
            <w:r>
              <w:rPr>
                <w:b/>
                <w:bCs/>
                <w:sz w:val="20"/>
                <w:szCs w:val="20"/>
              </w:rPr>
              <w:t>»</w:t>
            </w:r>
          </w:p>
        </w:tc>
        <w:tc>
          <w:tcPr>
            <w:tcW w:w="876" w:type="dxa"/>
            <w:tcBorders>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r w:rsidRPr="00B955FC">
              <w:rPr>
                <w:rFonts w:eastAsia="Calibri"/>
                <w:b/>
                <w:sz w:val="20"/>
                <w:szCs w:val="20"/>
              </w:rPr>
              <w:t>1,0</w:t>
            </w:r>
          </w:p>
        </w:tc>
        <w:tc>
          <w:tcPr>
            <w:tcW w:w="877" w:type="dxa"/>
            <w:tcBorders>
              <w:left w:val="single" w:sz="4" w:space="0" w:color="000000"/>
              <w:bottom w:val="single" w:sz="4" w:space="0" w:color="000000"/>
              <w:right w:val="single" w:sz="4" w:space="0" w:color="000000"/>
            </w:tcBorders>
            <w:shd w:val="clear" w:color="auto" w:fill="auto"/>
          </w:tcPr>
          <w:p w:rsidR="00B955FC" w:rsidRPr="00B955FC" w:rsidRDefault="00B955FC" w:rsidP="00B955FC">
            <w:r w:rsidRPr="00B955FC">
              <w:rPr>
                <w:rFonts w:eastAsia="Calibri"/>
                <w:b/>
                <w:sz w:val="20"/>
                <w:szCs w:val="20"/>
              </w:rPr>
              <w:t>1,0</w:t>
            </w:r>
          </w:p>
        </w:tc>
        <w:tc>
          <w:tcPr>
            <w:tcW w:w="878" w:type="dxa"/>
            <w:tcBorders>
              <w:left w:val="single" w:sz="4" w:space="0" w:color="000000"/>
              <w:bottom w:val="single" w:sz="4" w:space="0" w:color="000000"/>
              <w:right w:val="single" w:sz="4" w:space="0" w:color="000000"/>
            </w:tcBorders>
            <w:shd w:val="clear" w:color="auto" w:fill="auto"/>
          </w:tcPr>
          <w:p w:rsidR="00B955FC" w:rsidRPr="00B955FC" w:rsidRDefault="00B955FC" w:rsidP="00B955FC">
            <w:r w:rsidRPr="00B955FC">
              <w:rPr>
                <w:rFonts w:eastAsia="Calibri"/>
                <w:b/>
                <w:sz w:val="20"/>
                <w:szCs w:val="20"/>
              </w:rPr>
              <w:t>1,0</w:t>
            </w:r>
          </w:p>
        </w:tc>
        <w:tc>
          <w:tcPr>
            <w:tcW w:w="878" w:type="dxa"/>
            <w:tcBorders>
              <w:left w:val="single" w:sz="4" w:space="0" w:color="000000"/>
              <w:bottom w:val="single" w:sz="4" w:space="0" w:color="000000"/>
              <w:right w:val="single" w:sz="4" w:space="0" w:color="000000"/>
            </w:tcBorders>
            <w:shd w:val="clear" w:color="auto" w:fill="auto"/>
          </w:tcPr>
          <w:p w:rsidR="00B955FC" w:rsidRPr="00B955FC" w:rsidRDefault="00B955FC" w:rsidP="00B955FC">
            <w:r w:rsidRPr="00B955FC">
              <w:rPr>
                <w:rFonts w:eastAsia="Calibri"/>
                <w:b/>
                <w:sz w:val="20"/>
                <w:szCs w:val="20"/>
              </w:rPr>
              <w:t>1,0</w:t>
            </w:r>
          </w:p>
        </w:tc>
        <w:tc>
          <w:tcPr>
            <w:tcW w:w="883" w:type="dxa"/>
            <w:tcBorders>
              <w:left w:val="single" w:sz="4" w:space="0" w:color="000000"/>
              <w:bottom w:val="single" w:sz="4" w:space="0" w:color="000000"/>
              <w:right w:val="single" w:sz="4" w:space="0" w:color="000000"/>
            </w:tcBorders>
            <w:shd w:val="clear" w:color="auto" w:fill="auto"/>
          </w:tcPr>
          <w:p w:rsidR="00B955FC" w:rsidRPr="00B955FC" w:rsidRDefault="00B955FC" w:rsidP="00B955FC">
            <w:r w:rsidRPr="00B955FC">
              <w:rPr>
                <w:rFonts w:eastAsia="Calibri"/>
                <w:b/>
                <w:sz w:val="20"/>
                <w:szCs w:val="20"/>
              </w:rPr>
              <w:t>1,0</w:t>
            </w:r>
          </w:p>
        </w:tc>
      </w:tr>
      <w:tr w:rsidR="00B955FC" w:rsidRPr="00B955FC" w:rsidTr="00B955FC">
        <w:trPr>
          <w:trHeight w:val="1180"/>
        </w:trPr>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eastAsia="Calibri"/>
                <w:b/>
                <w:sz w:val="20"/>
                <w:szCs w:val="20"/>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pPr>
            <w:r w:rsidRPr="00B955FC">
              <w:rPr>
                <w:rFonts w:ascii="Times New Roman" w:hAnsi="Times New Roman"/>
                <w:b/>
                <w:sz w:val="20"/>
                <w:szCs w:val="20"/>
              </w:rPr>
              <w:t>Общекультурное направление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rsidR="00B955FC" w:rsidRDefault="00B955FC" w:rsidP="00B955FC">
            <w:pPr>
              <w:spacing w:after="0" w:line="240" w:lineRule="auto"/>
              <w:rPr>
                <w:rFonts w:eastAsia="Calibri"/>
                <w:b/>
                <w:sz w:val="20"/>
                <w:szCs w:val="20"/>
              </w:rPr>
            </w:pPr>
            <w:bookmarkStart w:id="5" w:name="__DdeLink__565_1921854871"/>
            <w:r w:rsidRPr="00B955FC">
              <w:rPr>
                <w:rFonts w:eastAsia="Calibri"/>
                <w:b/>
                <w:sz w:val="20"/>
                <w:szCs w:val="20"/>
              </w:rPr>
              <w:t>Реализуется в рамках</w:t>
            </w:r>
            <w:proofErr w:type="gramStart"/>
            <w:r w:rsidRPr="00B955FC">
              <w:rPr>
                <w:rFonts w:eastAsia="Calibri"/>
                <w:b/>
                <w:sz w:val="20"/>
                <w:szCs w:val="20"/>
              </w:rPr>
              <w:t xml:space="preserve"> :</w:t>
            </w:r>
            <w:proofErr w:type="gramEnd"/>
            <w:r w:rsidRPr="00B955FC">
              <w:rPr>
                <w:rFonts w:eastAsia="Calibri"/>
                <w:b/>
                <w:sz w:val="20"/>
                <w:szCs w:val="20"/>
              </w:rPr>
              <w:t xml:space="preserve"> работы кружка «Первая роль», общешкольных и классных  мероприятий</w:t>
            </w:r>
            <w:bookmarkEnd w:id="5"/>
          </w:p>
          <w:p w:rsidR="00B955FC" w:rsidRPr="00B955FC" w:rsidRDefault="00B955FC" w:rsidP="00B955FC">
            <w:pPr>
              <w:spacing w:after="0" w:line="240" w:lineRule="auto"/>
            </w:pPr>
            <w:r>
              <w:rPr>
                <w:rFonts w:eastAsia="Calibri"/>
                <w:b/>
                <w:sz w:val="20"/>
                <w:szCs w:val="20"/>
              </w:rPr>
              <w:t>Кружок «Бумажная вселенная»</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B955FC" w:rsidRPr="00B955FC" w:rsidRDefault="00B955FC" w:rsidP="00B955FC">
            <w:pPr>
              <w:spacing w:after="0" w:line="240" w:lineRule="auto"/>
              <w:rPr>
                <w:rFonts w:eastAsia="Calibri"/>
                <w:b/>
                <w:sz w:val="20"/>
                <w:szCs w:val="20"/>
              </w:rPr>
            </w:pPr>
          </w:p>
        </w:tc>
      </w:tr>
    </w:tbl>
    <w:p w:rsidR="00B955FC" w:rsidRPr="00B955FC" w:rsidRDefault="00B955FC" w:rsidP="00B955FC">
      <w:pPr>
        <w:spacing w:after="160" w:line="256" w:lineRule="auto"/>
        <w:jc w:val="center"/>
        <w:rPr>
          <w:rFonts w:ascii="Times New Roman" w:eastAsia="Calibri" w:hAnsi="Times New Roman" w:cs="Times New Roman"/>
          <w:b/>
          <w:sz w:val="20"/>
          <w:szCs w:val="20"/>
        </w:rPr>
      </w:pPr>
    </w:p>
    <w:p w:rsidR="00B955FC" w:rsidRPr="00B955FC" w:rsidRDefault="00B955FC" w:rsidP="00B955FC">
      <w:pPr>
        <w:widowControl w:val="0"/>
        <w:spacing w:after="160" w:line="240" w:lineRule="auto"/>
        <w:jc w:val="both"/>
        <w:rPr>
          <w:rFonts w:ascii="Times New Roman" w:eastAsia="Times New Roman" w:hAnsi="Times New Roman" w:cs="Times New Roman"/>
          <w:sz w:val="20"/>
          <w:szCs w:val="20"/>
          <w:lang w:eastAsia="ru-RU" w:bidi="ru-RU"/>
        </w:rPr>
      </w:pPr>
    </w:p>
    <w:p w:rsidR="003F221E" w:rsidRDefault="003F221E"/>
    <w:sectPr w:rsidR="003F2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421D"/>
    <w:multiLevelType w:val="multilevel"/>
    <w:tmpl w:val="2CCE32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FC"/>
    <w:rsid w:val="003F221E"/>
    <w:rsid w:val="00B9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1860</Words>
  <Characters>10606</Characters>
  <Application>Microsoft Office Word</Application>
  <DocSecurity>0</DocSecurity>
  <Lines>88</Lines>
  <Paragraphs>24</Paragraphs>
  <ScaleCrop>false</ScaleCrop>
  <Company>SPecialiST RePack</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2023-09-14T06:29:00Z</dcterms:created>
  <dcterms:modified xsi:type="dcterms:W3CDTF">2023-09-14T06:37:00Z</dcterms:modified>
</cp:coreProperties>
</file>